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r>
              <w:rPr>
                <w:rFonts w:ascii="Arial" w:hAnsi="Arial"/>
                <w:b/>
                <w:bCs/>
                <w:sz w:val="26"/>
                <w:szCs w:val="26"/>
                <w:rtl/>
              </w:rPr>
              <w:t>שופט</w:t>
            </w:r>
            <w:r w:rsidR="0094424E" w:rsidRPr="008A59EE">
              <w:rPr>
                <w:rFonts w:ascii="Arial" w:hAnsi="Arial" w:hint="cs"/>
                <w:b/>
                <w:bCs/>
                <w:sz w:val="26"/>
                <w:szCs w:val="26"/>
                <w:rtl/>
              </w:rPr>
              <w:t xml:space="preserve"> </w:t>
            </w:r>
            <w:r>
              <w:rPr>
                <w:rFonts w:ascii="Arial" w:hAnsi="Arial"/>
                <w:b/>
                <w:bCs/>
                <w:sz w:val="26"/>
                <w:szCs w:val="26"/>
                <w:rtl/>
              </w:rPr>
              <w:t>אביגדור דורות</w:t>
            </w:r>
          </w:p>
          <w:p w:rsidR="00007DE0" w:rsidRPr="008A59EE" w:rsidRDefault="00007DE0" w:rsidP="00007DE0">
            <w:pPr>
              <w:suppressLineNumbers/>
              <w:rPr>
                <w:sz w:val="26"/>
                <w:szCs w:val="26"/>
              </w:rPr>
            </w:pPr>
          </w:p>
        </w:tc>
      </w:tr>
      <w:tr w:rsidR="0094424E" w:rsidTr="00717630">
        <w:trPr>
          <w:trHeight w:val="7438"/>
          <w:jc w:val="center"/>
        </w:trPr>
        <w:tc>
          <w:tcPr>
            <w:tcW w:w="3249" w:type="dxa"/>
            <w:gridSpan w:val="2"/>
          </w:tcPr>
          <w:p w:rsidR="00FA7FD0" w:rsidRDefault="00FA7FD0" w:rsidP="00D44968">
            <w:pPr>
              <w:suppressLineNumbers/>
              <w:rPr>
                <w:rtl/>
              </w:rPr>
            </w:pPr>
          </w:p>
          <w:p w:rsidR="006D51DC" w:rsidRDefault="00717630">
            <w:pPr>
              <w:suppressLineNumbers/>
              <w:rPr>
                <w:rFonts w:ascii="Arial" w:hAnsi="Arial"/>
                <w:b/>
                <w:bCs/>
                <w:noProof w:val="0"/>
                <w:sz w:val="26"/>
                <w:szCs w:val="26"/>
                <w:rtl/>
              </w:rPr>
            </w:pPr>
            <w:r>
              <w:rPr>
                <w:rFonts w:ascii="Arial" w:hAnsi="Arial" w:hint="cs"/>
                <w:b/>
                <w:bCs/>
                <w:noProof w:val="0"/>
                <w:sz w:val="26"/>
                <w:szCs w:val="26"/>
                <w:rtl/>
              </w:rPr>
              <w:t>בעניין:</w:t>
            </w:r>
          </w:p>
          <w:p w:rsidR="00717630" w:rsidRDefault="00717630">
            <w:pPr>
              <w:suppressLineNumbers/>
              <w:rPr>
                <w:rFonts w:ascii="Arial" w:hAnsi="Arial"/>
                <w:b/>
                <w:bCs/>
                <w:noProof w:val="0"/>
                <w:sz w:val="26"/>
                <w:szCs w:val="26"/>
                <w:rtl/>
              </w:rPr>
            </w:pPr>
          </w:p>
          <w:p w:rsidR="00717630" w:rsidRDefault="00717630">
            <w:pPr>
              <w:suppressLineNumbers/>
              <w:rPr>
                <w:rFonts w:ascii="Arial" w:hAnsi="Arial"/>
                <w:b/>
                <w:bCs/>
                <w:noProof w:val="0"/>
                <w:sz w:val="26"/>
                <w:szCs w:val="26"/>
                <w:rtl/>
              </w:rPr>
            </w:pPr>
            <w:r>
              <w:rPr>
                <w:rFonts w:ascii="Arial" w:hAnsi="Arial" w:hint="cs"/>
                <w:b/>
                <w:bCs/>
                <w:noProof w:val="0"/>
                <w:sz w:val="26"/>
                <w:szCs w:val="26"/>
                <w:rtl/>
              </w:rPr>
              <w:t>ובעניין:</w:t>
            </w:r>
          </w:p>
          <w:p w:rsidR="00717630" w:rsidRDefault="00717630">
            <w:pPr>
              <w:suppressLineNumbers/>
              <w:rPr>
                <w:rFonts w:ascii="Arial" w:hAnsi="Arial"/>
                <w:b/>
                <w:bCs/>
                <w:noProof w:val="0"/>
                <w:sz w:val="26"/>
                <w:szCs w:val="26"/>
                <w:rtl/>
              </w:rPr>
            </w:pPr>
          </w:p>
          <w:p w:rsidR="00717630" w:rsidRDefault="00717630">
            <w:pPr>
              <w:suppressLineNumbers/>
              <w:rPr>
                <w:rFonts w:ascii="Arial" w:hAnsi="Arial"/>
                <w:b/>
                <w:bCs/>
                <w:noProof w:val="0"/>
                <w:sz w:val="26"/>
                <w:szCs w:val="26"/>
                <w:rtl/>
              </w:rPr>
            </w:pPr>
            <w:r>
              <w:rPr>
                <w:rFonts w:ascii="Arial" w:hAnsi="Arial" w:hint="cs"/>
                <w:b/>
                <w:bCs/>
                <w:noProof w:val="0"/>
                <w:sz w:val="26"/>
                <w:szCs w:val="26"/>
                <w:rtl/>
              </w:rPr>
              <w:t>ובעניין:</w:t>
            </w:r>
          </w:p>
          <w:p w:rsidR="00717630" w:rsidRDefault="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ובעניין:</w:t>
            </w: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 xml:space="preserve">ובעניין: </w:t>
            </w: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 xml:space="preserve">ובעניין: </w:t>
            </w: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 xml:space="preserve">ובעניין: </w:t>
            </w: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ובעניין:</w:t>
            </w:r>
          </w:p>
          <w:p w:rsidR="00717630" w:rsidRDefault="00717630" w:rsidP="00717630">
            <w:pPr>
              <w:suppressLineNumbers/>
              <w:rPr>
                <w:rFonts w:ascii="Arial" w:hAnsi="Arial"/>
                <w:b/>
                <w:bCs/>
                <w:noProof w:val="0"/>
                <w:sz w:val="22"/>
                <w:szCs w:val="22"/>
                <w:rtl/>
              </w:rPr>
            </w:pPr>
          </w:p>
          <w:p w:rsidR="00717630" w:rsidRDefault="00717630" w:rsidP="00717630">
            <w:pPr>
              <w:suppressLineNumbers/>
              <w:rPr>
                <w:rFonts w:ascii="Arial" w:hAnsi="Arial"/>
                <w:b/>
                <w:bCs/>
                <w:noProof w:val="0"/>
                <w:sz w:val="22"/>
                <w:szCs w:val="22"/>
                <w:rtl/>
              </w:rPr>
            </w:pPr>
          </w:p>
          <w:p w:rsidR="00717630" w:rsidRDefault="00717630" w:rsidP="00717630">
            <w:pPr>
              <w:suppressLineNumbers/>
              <w:rPr>
                <w:rFonts w:ascii="Arial" w:hAnsi="Arial"/>
                <w:b/>
                <w:bCs/>
                <w:noProof w:val="0"/>
                <w:sz w:val="22"/>
                <w:szCs w:val="22"/>
                <w:rtl/>
              </w:rPr>
            </w:pPr>
          </w:p>
          <w:p w:rsidR="00717630" w:rsidRDefault="00717630" w:rsidP="00717630">
            <w:pPr>
              <w:suppressLineNumbers/>
              <w:rPr>
                <w:rFonts w:ascii="Arial" w:hAnsi="Arial"/>
                <w:b/>
                <w:bCs/>
                <w:noProof w:val="0"/>
                <w:sz w:val="26"/>
                <w:szCs w:val="26"/>
                <w:rtl/>
              </w:rPr>
            </w:pPr>
            <w:r>
              <w:rPr>
                <w:rFonts w:ascii="Arial" w:hAnsi="Arial" w:hint="cs"/>
                <w:b/>
                <w:bCs/>
                <w:noProof w:val="0"/>
                <w:sz w:val="26"/>
                <w:szCs w:val="26"/>
                <w:rtl/>
              </w:rPr>
              <w:t>ובעניין:</w:t>
            </w:r>
          </w:p>
          <w:p w:rsidR="00717630" w:rsidRDefault="00717630" w:rsidP="00717630">
            <w:pPr>
              <w:suppressLineNumbers/>
              <w:rPr>
                <w:rFonts w:ascii="Arial" w:hAnsi="Arial"/>
                <w:b/>
                <w:bCs/>
                <w:noProof w:val="0"/>
                <w:sz w:val="26"/>
                <w:szCs w:val="26"/>
                <w:rtl/>
              </w:rPr>
            </w:pPr>
          </w:p>
          <w:p w:rsidR="00717630" w:rsidRDefault="00717630" w:rsidP="00717630">
            <w:pPr>
              <w:suppressLineNumbers/>
              <w:rPr>
                <w:rFonts w:ascii="Arial" w:hAnsi="Arial"/>
                <w:b/>
                <w:bCs/>
                <w:noProof w:val="0"/>
                <w:sz w:val="26"/>
                <w:szCs w:val="26"/>
                <w:rtl/>
              </w:rPr>
            </w:pPr>
          </w:p>
          <w:p w:rsidR="00717630" w:rsidRPr="00717630" w:rsidRDefault="00717630" w:rsidP="00717630">
            <w:pPr>
              <w:suppressLineNumbers/>
              <w:rPr>
                <w:rFonts w:ascii="Arial" w:hAnsi="Arial"/>
                <w:b/>
                <w:bCs/>
                <w:noProof w:val="0"/>
                <w:sz w:val="26"/>
                <w:szCs w:val="26"/>
                <w:rtl/>
              </w:rPr>
            </w:pPr>
            <w:r>
              <w:rPr>
                <w:rFonts w:ascii="Arial" w:hAnsi="Arial" w:hint="cs"/>
                <w:b/>
                <w:bCs/>
                <w:noProof w:val="0"/>
                <w:sz w:val="26"/>
                <w:szCs w:val="26"/>
                <w:rtl/>
              </w:rPr>
              <w:t>ובעניין:</w:t>
            </w:r>
          </w:p>
        </w:tc>
        <w:tc>
          <w:tcPr>
            <w:tcW w:w="5571" w:type="dxa"/>
          </w:tcPr>
          <w:p w:rsidR="00FA7FD0" w:rsidRDefault="00FA7FD0" w:rsidP="00D44968">
            <w:pPr>
              <w:suppressLineNumbers/>
              <w:rPr>
                <w:rtl/>
              </w:rPr>
            </w:pPr>
          </w:p>
          <w:p w:rsidR="0094424E" w:rsidRDefault="00F964A5" w:rsidP="00FE09EC">
            <w:pPr>
              <w:suppressLineNumbers/>
              <w:rPr>
                <w:rFonts w:ascii="Arial" w:hAnsi="Arial"/>
                <w:b/>
                <w:bCs/>
                <w:noProof w:val="0"/>
                <w:sz w:val="26"/>
                <w:szCs w:val="26"/>
                <w:rtl/>
              </w:rPr>
            </w:pPr>
            <w:r>
              <w:rPr>
                <w:rFonts w:ascii="Arial" w:hAnsi="Arial" w:hint="cs"/>
                <w:b/>
                <w:bCs/>
                <w:noProof w:val="0"/>
                <w:sz w:val="26"/>
                <w:szCs w:val="26"/>
                <w:rtl/>
              </w:rPr>
              <w:t>חוק העמותות, התש"ם-1980</w:t>
            </w:r>
          </w:p>
          <w:p w:rsidR="00F964A5" w:rsidRDefault="00F964A5" w:rsidP="00FE09EC">
            <w:pPr>
              <w:suppressLineNumbers/>
              <w:rPr>
                <w:b/>
                <w:bCs/>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חוק חדלות פירעון ושיקום כלכלי, תשע"ח-2018</w:t>
            </w:r>
          </w:p>
          <w:p w:rsidR="00F964A5" w:rsidRDefault="00F964A5" w:rsidP="00FE09EC">
            <w:pPr>
              <w:suppressLineNumbers/>
              <w:rPr>
                <w:b/>
                <w:bCs/>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עמותת חינוך ומסורה</w:t>
            </w:r>
          </w:p>
          <w:p w:rsidR="00F964A5" w:rsidRDefault="00F964A5" w:rsidP="00F964A5">
            <w:pPr>
              <w:suppressLineNumbers/>
              <w:rPr>
                <w:noProof w:val="0"/>
                <w:sz w:val="26"/>
                <w:szCs w:val="26"/>
                <w:rtl/>
              </w:rPr>
            </w:pPr>
            <w:r>
              <w:rPr>
                <w:rFonts w:hint="cs"/>
                <w:noProof w:val="0"/>
                <w:sz w:val="26"/>
                <w:szCs w:val="26"/>
                <w:rtl/>
              </w:rPr>
              <w:t>ע"י ב"כ עו"ד אוריאל זעירא</w:t>
            </w:r>
            <w:r w:rsidR="00E34EE7">
              <w:rPr>
                <w:rFonts w:hint="cs"/>
                <w:noProof w:val="0"/>
                <w:sz w:val="26"/>
                <w:szCs w:val="26"/>
                <w:rtl/>
              </w:rPr>
              <w:t xml:space="preserve">                     </w:t>
            </w:r>
            <w:r w:rsidR="00E34EE7" w:rsidRPr="00E34EE7">
              <w:rPr>
                <w:rFonts w:hint="cs"/>
                <w:b/>
                <w:bCs/>
                <w:noProof w:val="0"/>
                <w:sz w:val="26"/>
                <w:szCs w:val="26"/>
                <w:rtl/>
              </w:rPr>
              <w:t>העמותה</w:t>
            </w:r>
          </w:p>
          <w:p w:rsidR="00F964A5" w:rsidRDefault="00F964A5" w:rsidP="00FE09EC">
            <w:pPr>
              <w:suppressLineNumbers/>
              <w:rPr>
                <w:b/>
                <w:bCs/>
                <w:noProof w:val="0"/>
                <w:sz w:val="26"/>
                <w:szCs w:val="26"/>
                <w:rtl/>
              </w:rPr>
            </w:pPr>
          </w:p>
          <w:p w:rsidR="00F964A5" w:rsidRDefault="00F964A5" w:rsidP="00FE09EC">
            <w:pPr>
              <w:suppressLineNumbers/>
              <w:rPr>
                <w:b/>
                <w:bCs/>
                <w:noProof w:val="0"/>
                <w:sz w:val="26"/>
                <w:szCs w:val="26"/>
                <w:rtl/>
              </w:rPr>
            </w:pPr>
            <w:r>
              <w:rPr>
                <w:b/>
                <w:bCs/>
                <w:noProof w:val="0"/>
                <w:sz w:val="26"/>
                <w:szCs w:val="26"/>
              </w:rPr>
              <w:t>Serom Berehti</w:t>
            </w:r>
            <w:r>
              <w:rPr>
                <w:rFonts w:hint="cs"/>
                <w:b/>
                <w:bCs/>
                <w:noProof w:val="0"/>
                <w:sz w:val="26"/>
                <w:szCs w:val="26"/>
                <w:rtl/>
              </w:rPr>
              <w:t xml:space="preserve"> </w:t>
            </w:r>
          </w:p>
          <w:p w:rsidR="00F964A5" w:rsidRDefault="00F964A5" w:rsidP="00FE09EC">
            <w:pPr>
              <w:suppressLineNumbers/>
              <w:rPr>
                <w:noProof w:val="0"/>
                <w:sz w:val="26"/>
                <w:szCs w:val="26"/>
                <w:rtl/>
              </w:rPr>
            </w:pPr>
            <w:r>
              <w:rPr>
                <w:rFonts w:hint="cs"/>
                <w:noProof w:val="0"/>
                <w:sz w:val="26"/>
                <w:szCs w:val="26"/>
                <w:rtl/>
              </w:rPr>
              <w:t>ע"י ב"כ עו"ד דניאל ועקנין</w:t>
            </w:r>
            <w:r w:rsidR="00E34EE7">
              <w:rPr>
                <w:rFonts w:hint="cs"/>
                <w:noProof w:val="0"/>
                <w:sz w:val="26"/>
                <w:szCs w:val="26"/>
                <w:rtl/>
              </w:rPr>
              <w:t xml:space="preserve">                        </w:t>
            </w:r>
            <w:r w:rsidR="00E34EE7" w:rsidRPr="00E34EE7">
              <w:rPr>
                <w:rFonts w:hint="cs"/>
                <w:b/>
                <w:bCs/>
                <w:noProof w:val="0"/>
                <w:sz w:val="26"/>
                <w:szCs w:val="26"/>
                <w:rtl/>
              </w:rPr>
              <w:t>ברטי</w:t>
            </w:r>
          </w:p>
          <w:p w:rsidR="00F964A5" w:rsidRDefault="00F964A5" w:rsidP="00FE09EC">
            <w:pPr>
              <w:suppressLineNumbers/>
              <w:rPr>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מועאד שלש</w:t>
            </w:r>
          </w:p>
          <w:p w:rsidR="00F964A5" w:rsidRDefault="00F964A5" w:rsidP="00FE09EC">
            <w:pPr>
              <w:suppressLineNumbers/>
              <w:rPr>
                <w:noProof w:val="0"/>
                <w:sz w:val="26"/>
                <w:szCs w:val="26"/>
                <w:rtl/>
              </w:rPr>
            </w:pPr>
            <w:r>
              <w:rPr>
                <w:rFonts w:hint="cs"/>
                <w:noProof w:val="0"/>
                <w:sz w:val="26"/>
                <w:szCs w:val="26"/>
                <w:rtl/>
              </w:rPr>
              <w:t>ע"י ב"כ עו"ד מוחמד ותד</w:t>
            </w:r>
            <w:r w:rsidR="00E34EE7">
              <w:rPr>
                <w:rFonts w:hint="cs"/>
                <w:noProof w:val="0"/>
                <w:sz w:val="26"/>
                <w:szCs w:val="26"/>
                <w:rtl/>
              </w:rPr>
              <w:t xml:space="preserve">                          </w:t>
            </w:r>
            <w:r w:rsidR="00E34EE7" w:rsidRPr="00E34EE7">
              <w:rPr>
                <w:rFonts w:hint="cs"/>
                <w:b/>
                <w:bCs/>
                <w:noProof w:val="0"/>
                <w:sz w:val="26"/>
                <w:szCs w:val="26"/>
                <w:rtl/>
              </w:rPr>
              <w:t>שלש</w:t>
            </w:r>
          </w:p>
          <w:p w:rsidR="00F964A5" w:rsidRDefault="00F964A5" w:rsidP="00FE09EC">
            <w:pPr>
              <w:suppressLineNumbers/>
              <w:rPr>
                <w:noProof w:val="0"/>
                <w:sz w:val="26"/>
                <w:szCs w:val="26"/>
                <w:rtl/>
              </w:rPr>
            </w:pPr>
          </w:p>
          <w:p w:rsidR="00F964A5" w:rsidRDefault="00E34EE7" w:rsidP="00FE09EC">
            <w:pPr>
              <w:suppressLineNumbers/>
              <w:rPr>
                <w:b/>
                <w:bCs/>
                <w:noProof w:val="0"/>
                <w:sz w:val="26"/>
                <w:szCs w:val="26"/>
                <w:rtl/>
              </w:rPr>
            </w:pPr>
            <w:r>
              <w:rPr>
                <w:rFonts w:hint="cs"/>
                <w:b/>
                <w:bCs/>
                <w:noProof w:val="0"/>
                <w:sz w:val="26"/>
                <w:szCs w:val="26"/>
                <w:rtl/>
              </w:rPr>
              <w:t xml:space="preserve">יעקב כץ </w:t>
            </w:r>
            <w:r w:rsidR="00F964A5" w:rsidRPr="00F964A5">
              <w:rPr>
                <w:rFonts w:hint="cs"/>
                <w:b/>
                <w:bCs/>
                <w:noProof w:val="0"/>
                <w:sz w:val="26"/>
                <w:szCs w:val="26"/>
                <w:rtl/>
              </w:rPr>
              <w:t>ו-9 אחרים</w:t>
            </w:r>
          </w:p>
          <w:p w:rsidR="00F964A5" w:rsidRDefault="00F964A5" w:rsidP="00FE09EC">
            <w:pPr>
              <w:suppressLineNumbers/>
              <w:rPr>
                <w:noProof w:val="0"/>
                <w:sz w:val="26"/>
                <w:szCs w:val="26"/>
                <w:rtl/>
              </w:rPr>
            </w:pPr>
            <w:r>
              <w:rPr>
                <w:rFonts w:hint="cs"/>
                <w:noProof w:val="0"/>
                <w:sz w:val="26"/>
                <w:szCs w:val="26"/>
                <w:rtl/>
              </w:rPr>
              <w:t xml:space="preserve">ע"י עו"ד רחל בן רחמים-סובול                </w:t>
            </w:r>
            <w:r>
              <w:rPr>
                <w:rFonts w:hint="cs"/>
                <w:b/>
                <w:bCs/>
                <w:noProof w:val="0"/>
                <w:sz w:val="26"/>
                <w:szCs w:val="26"/>
                <w:u w:val="single"/>
                <w:rtl/>
              </w:rPr>
              <w:t>עובדי העמותה</w:t>
            </w:r>
          </w:p>
          <w:p w:rsidR="00F964A5" w:rsidRDefault="00F964A5" w:rsidP="00FE09EC">
            <w:pPr>
              <w:suppressLineNumbers/>
              <w:rPr>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רשם העמותות</w:t>
            </w:r>
          </w:p>
          <w:p w:rsidR="00F964A5" w:rsidRDefault="00F964A5" w:rsidP="00FE09EC">
            <w:pPr>
              <w:suppressLineNumbers/>
              <w:rPr>
                <w:b/>
                <w:bCs/>
                <w:noProof w:val="0"/>
                <w:sz w:val="26"/>
                <w:szCs w:val="26"/>
                <w:rtl/>
              </w:rPr>
            </w:pPr>
            <w:r>
              <w:rPr>
                <w:rFonts w:hint="cs"/>
                <w:noProof w:val="0"/>
                <w:sz w:val="26"/>
                <w:szCs w:val="26"/>
                <w:rtl/>
              </w:rPr>
              <w:t xml:space="preserve">ע"י ב"כ עו"ד דנה גרובר                            </w:t>
            </w:r>
            <w:r>
              <w:rPr>
                <w:rFonts w:hint="cs"/>
                <w:b/>
                <w:bCs/>
                <w:noProof w:val="0"/>
                <w:sz w:val="26"/>
                <w:szCs w:val="26"/>
                <w:u w:val="single"/>
                <w:rtl/>
              </w:rPr>
              <w:t>הרשם</w:t>
            </w:r>
          </w:p>
          <w:p w:rsidR="00F964A5" w:rsidRDefault="00F964A5" w:rsidP="00FE09EC">
            <w:pPr>
              <w:suppressLineNumbers/>
              <w:rPr>
                <w:b/>
                <w:bCs/>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 xml:space="preserve">ד. ניב בניה ופיתוח בע"מ </w:t>
            </w:r>
          </w:p>
          <w:p w:rsidR="00F964A5" w:rsidRDefault="00F964A5" w:rsidP="00E34EE7">
            <w:pPr>
              <w:suppressLineNumbers/>
              <w:rPr>
                <w:b/>
                <w:bCs/>
                <w:noProof w:val="0"/>
                <w:sz w:val="26"/>
                <w:szCs w:val="26"/>
                <w:rtl/>
              </w:rPr>
            </w:pPr>
            <w:r>
              <w:rPr>
                <w:rFonts w:hint="cs"/>
                <w:noProof w:val="0"/>
                <w:sz w:val="26"/>
                <w:szCs w:val="26"/>
                <w:rtl/>
              </w:rPr>
              <w:t xml:space="preserve">ע"י ב"כ עו"ד אשר אקסלרד                     </w:t>
            </w:r>
            <w:r>
              <w:rPr>
                <w:rFonts w:hint="cs"/>
                <w:b/>
                <w:bCs/>
                <w:noProof w:val="0"/>
                <w:sz w:val="26"/>
                <w:szCs w:val="26"/>
                <w:u w:val="single"/>
                <w:rtl/>
              </w:rPr>
              <w:t>ניב בניה</w:t>
            </w:r>
          </w:p>
          <w:p w:rsidR="00F964A5" w:rsidRDefault="00F964A5" w:rsidP="00FE09EC">
            <w:pPr>
              <w:suppressLineNumbers/>
              <w:rPr>
                <w:b/>
                <w:bCs/>
                <w:noProof w:val="0"/>
                <w:sz w:val="26"/>
                <w:szCs w:val="26"/>
                <w:rtl/>
              </w:rPr>
            </w:pPr>
          </w:p>
          <w:p w:rsidR="00F964A5" w:rsidRDefault="00F964A5" w:rsidP="00FE09EC">
            <w:pPr>
              <w:suppressLineNumbers/>
              <w:rPr>
                <w:b/>
                <w:bCs/>
                <w:noProof w:val="0"/>
                <w:sz w:val="26"/>
                <w:szCs w:val="26"/>
                <w:rtl/>
              </w:rPr>
            </w:pPr>
            <w:r>
              <w:rPr>
                <w:rFonts w:hint="cs"/>
                <w:b/>
                <w:bCs/>
                <w:noProof w:val="0"/>
                <w:sz w:val="26"/>
                <w:szCs w:val="26"/>
                <w:rtl/>
              </w:rPr>
              <w:t>עמותת דגל ראובן</w:t>
            </w:r>
          </w:p>
          <w:p w:rsidR="00F964A5" w:rsidRDefault="00F964A5" w:rsidP="00E34EE7">
            <w:pPr>
              <w:suppressLineNumbers/>
              <w:rPr>
                <w:b/>
                <w:bCs/>
                <w:noProof w:val="0"/>
                <w:sz w:val="26"/>
                <w:szCs w:val="26"/>
                <w:rtl/>
              </w:rPr>
            </w:pPr>
            <w:r>
              <w:rPr>
                <w:rFonts w:hint="cs"/>
                <w:noProof w:val="0"/>
                <w:sz w:val="26"/>
                <w:szCs w:val="26"/>
                <w:rtl/>
              </w:rPr>
              <w:t>ע"י ב"כ עו"ד בן ציון</w:t>
            </w:r>
            <w:r w:rsidR="00E34EE7">
              <w:rPr>
                <w:rFonts w:hint="cs"/>
                <w:noProof w:val="0"/>
                <w:sz w:val="26"/>
                <w:szCs w:val="26"/>
                <w:rtl/>
              </w:rPr>
              <w:t xml:space="preserve"> </w:t>
            </w:r>
            <w:r>
              <w:rPr>
                <w:rFonts w:hint="cs"/>
                <w:noProof w:val="0"/>
                <w:sz w:val="26"/>
                <w:szCs w:val="26"/>
                <w:rtl/>
              </w:rPr>
              <w:t xml:space="preserve">ליפשיץ                     </w:t>
            </w:r>
            <w:r>
              <w:rPr>
                <w:rFonts w:hint="cs"/>
                <w:b/>
                <w:bCs/>
                <w:noProof w:val="0"/>
                <w:sz w:val="26"/>
                <w:szCs w:val="26"/>
                <w:u w:val="single"/>
                <w:rtl/>
              </w:rPr>
              <w:t>דגל ראובן</w:t>
            </w:r>
          </w:p>
          <w:p w:rsidR="00F964A5" w:rsidRDefault="00F964A5" w:rsidP="00FE09EC">
            <w:pPr>
              <w:suppressLineNumbers/>
              <w:rPr>
                <w:b/>
                <w:bCs/>
                <w:noProof w:val="0"/>
                <w:sz w:val="26"/>
                <w:szCs w:val="26"/>
                <w:rtl/>
              </w:rPr>
            </w:pPr>
          </w:p>
          <w:p w:rsidR="00F964A5" w:rsidRDefault="00717630" w:rsidP="00FE09EC">
            <w:pPr>
              <w:suppressLineNumbers/>
              <w:rPr>
                <w:b/>
                <w:bCs/>
                <w:noProof w:val="0"/>
                <w:sz w:val="26"/>
                <w:szCs w:val="26"/>
                <w:rtl/>
              </w:rPr>
            </w:pPr>
            <w:r>
              <w:rPr>
                <w:rFonts w:hint="cs"/>
                <w:b/>
                <w:bCs/>
                <w:noProof w:val="0"/>
                <w:sz w:val="26"/>
                <w:szCs w:val="26"/>
                <w:rtl/>
              </w:rPr>
              <w:t>כונס הנכסים הרשמי, מחוז ירושלים</w:t>
            </w:r>
          </w:p>
          <w:p w:rsidR="00717630" w:rsidRPr="00717630" w:rsidRDefault="00717630" w:rsidP="00FE09EC">
            <w:pPr>
              <w:suppressLineNumbers/>
              <w:rPr>
                <w:b/>
                <w:bCs/>
                <w:noProof w:val="0"/>
                <w:sz w:val="26"/>
                <w:szCs w:val="26"/>
                <w:u w:val="single"/>
                <w:rtl/>
              </w:rPr>
            </w:pPr>
            <w:r>
              <w:rPr>
                <w:rFonts w:hint="cs"/>
                <w:noProof w:val="0"/>
                <w:sz w:val="26"/>
                <w:szCs w:val="26"/>
                <w:rtl/>
              </w:rPr>
              <w:t xml:space="preserve">ע"י ב"כ עו"ד אורן זילברברג                    </w:t>
            </w:r>
            <w:r>
              <w:rPr>
                <w:rFonts w:hint="cs"/>
                <w:b/>
                <w:bCs/>
                <w:noProof w:val="0"/>
                <w:sz w:val="26"/>
                <w:szCs w:val="26"/>
                <w:u w:val="single"/>
                <w:rtl/>
              </w:rPr>
              <w:t xml:space="preserve"> </w:t>
            </w:r>
            <w:r w:rsidR="00E34EE7">
              <w:rPr>
                <w:rFonts w:hint="cs"/>
                <w:b/>
                <w:bCs/>
                <w:noProof w:val="0"/>
                <w:sz w:val="26"/>
                <w:szCs w:val="26"/>
                <w:u w:val="single"/>
                <w:rtl/>
              </w:rPr>
              <w:t xml:space="preserve"> </w:t>
            </w:r>
            <w:r>
              <w:rPr>
                <w:rFonts w:hint="cs"/>
                <w:b/>
                <w:bCs/>
                <w:noProof w:val="0"/>
                <w:sz w:val="26"/>
                <w:szCs w:val="26"/>
                <w:u w:val="single"/>
                <w:rtl/>
              </w:rPr>
              <w:t>הכנ"ר</w:t>
            </w:r>
          </w:p>
          <w:p w:rsidR="00F964A5" w:rsidRDefault="00F964A5" w:rsidP="00FE09EC">
            <w:pPr>
              <w:suppressLineNumbers/>
              <w:rPr>
                <w:noProof w:val="0"/>
                <w:sz w:val="26"/>
                <w:szCs w:val="26"/>
                <w:rtl/>
              </w:rPr>
            </w:pPr>
          </w:p>
          <w:p w:rsidR="00BA3F98" w:rsidRPr="00F964A5" w:rsidRDefault="00BA3F98" w:rsidP="00FE09EC">
            <w:pPr>
              <w:suppressLineNumbers/>
              <w:rPr>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F59F3" w:rsidRDefault="00717630" w:rsidP="006F59F3">
      <w:pPr>
        <w:spacing w:line="360" w:lineRule="auto"/>
        <w:jc w:val="both"/>
        <w:rPr>
          <w:rFonts w:ascii="Arial" w:hAnsi="Arial"/>
          <w:noProof w:val="0"/>
          <w:rtl/>
        </w:rPr>
      </w:pPr>
      <w:bookmarkStart w:id="0" w:name="NGCSBookmark"/>
      <w:bookmarkEnd w:id="0"/>
      <w:r>
        <w:rPr>
          <w:rFonts w:ascii="Arial" w:hAnsi="Arial" w:hint="cs"/>
          <w:noProof w:val="0"/>
          <w:rtl/>
        </w:rPr>
        <w:t xml:space="preserve">לפניי בקשת עובדת לשעבר של עמותת חינוך ומסורה (להלן: </w:t>
      </w:r>
      <w:r>
        <w:rPr>
          <w:rFonts w:ascii="Arial" w:hAnsi="Arial" w:hint="cs"/>
          <w:b/>
          <w:bCs/>
          <w:noProof w:val="0"/>
          <w:rtl/>
        </w:rPr>
        <w:t>"העמותה"</w:t>
      </w:r>
      <w:r>
        <w:rPr>
          <w:rFonts w:ascii="Arial" w:hAnsi="Arial" w:hint="cs"/>
          <w:noProof w:val="0"/>
          <w:rtl/>
        </w:rPr>
        <w:t xml:space="preserve">) למתן צו פירוק לעמותה על בסיס פסק דין </w:t>
      </w:r>
      <w:r w:rsidR="00E34EE7">
        <w:rPr>
          <w:rFonts w:ascii="Arial" w:hAnsi="Arial" w:hint="cs"/>
          <w:noProof w:val="0"/>
          <w:rtl/>
        </w:rPr>
        <w:t xml:space="preserve">של בית הדין האזורי לעבודה </w:t>
      </w:r>
      <w:r>
        <w:rPr>
          <w:rFonts w:ascii="Arial" w:hAnsi="Arial" w:hint="cs"/>
          <w:noProof w:val="0"/>
          <w:rtl/>
        </w:rPr>
        <w:t xml:space="preserve">שניתן לבקשת העובדת. לבקשה הצטרפו עובדים נוספים של העמותה, נושה נוסף ורשם העמותות. העמותה הגישה התנגדות לבקשת הפירוק ובקשה להתיר לה להגיש הצעת הסדר נושים. </w:t>
      </w:r>
    </w:p>
    <w:p w:rsidR="00717630" w:rsidRDefault="00717630" w:rsidP="00E34EE7">
      <w:pPr>
        <w:spacing w:line="360" w:lineRule="auto"/>
        <w:jc w:val="both"/>
        <w:rPr>
          <w:rFonts w:ascii="Arial" w:hAnsi="Arial"/>
          <w:b/>
          <w:bCs/>
          <w:noProof w:val="0"/>
          <w:u w:val="single"/>
          <w:rtl/>
        </w:rPr>
      </w:pPr>
      <w:r>
        <w:rPr>
          <w:rFonts w:ascii="Arial" w:hAnsi="Arial" w:hint="cs"/>
          <w:b/>
          <w:bCs/>
          <w:noProof w:val="0"/>
          <w:u w:val="single"/>
          <w:rtl/>
        </w:rPr>
        <w:t>הצדדים ועמדותיהם</w:t>
      </w:r>
    </w:p>
    <w:p w:rsidR="00717630" w:rsidRDefault="00717630" w:rsidP="00717630">
      <w:pPr>
        <w:pStyle w:val="ad"/>
        <w:numPr>
          <w:ilvl w:val="0"/>
          <w:numId w:val="1"/>
        </w:numPr>
        <w:spacing w:line="360" w:lineRule="auto"/>
        <w:jc w:val="both"/>
        <w:rPr>
          <w:rFonts w:ascii="Arial" w:hAnsi="Arial"/>
          <w:noProof w:val="0"/>
        </w:rPr>
      </w:pPr>
      <w:r>
        <w:rPr>
          <w:rFonts w:ascii="Arial" w:hAnsi="Arial" w:hint="cs"/>
          <w:noProof w:val="0"/>
          <w:rtl/>
        </w:rPr>
        <w:t xml:space="preserve">הליך זה נפתח על ידי עובדת לשעבר של העמותה, גב' </w:t>
      </w:r>
      <w:r w:rsidR="00BA3F98">
        <w:rPr>
          <w:rFonts w:ascii="Arial" w:hAnsi="Arial"/>
          <w:noProof w:val="0"/>
        </w:rPr>
        <w:t>Berehti</w:t>
      </w:r>
      <w:r>
        <w:rPr>
          <w:rFonts w:ascii="Arial" w:hAnsi="Arial" w:hint="cs"/>
          <w:noProof w:val="0"/>
          <w:rtl/>
        </w:rPr>
        <w:t xml:space="preserve">, אשר לטובתה ניתן ביום 20.10.2021 פסק דין בבית הדין האזורי לעבודה (תיק 61337-04-21) המחייב את העמותה בתשלום 88,068 ₪, אשר לא שולם לה. </w:t>
      </w:r>
    </w:p>
    <w:p w:rsidR="00717630" w:rsidRDefault="00717630" w:rsidP="00717630">
      <w:pPr>
        <w:spacing w:line="360" w:lineRule="auto"/>
        <w:jc w:val="both"/>
        <w:rPr>
          <w:rFonts w:ascii="Arial" w:hAnsi="Arial"/>
          <w:noProof w:val="0"/>
          <w:rtl/>
        </w:rPr>
      </w:pPr>
    </w:p>
    <w:p w:rsidR="00717630" w:rsidRDefault="00717630" w:rsidP="00E34EE7">
      <w:pPr>
        <w:pStyle w:val="ad"/>
        <w:numPr>
          <w:ilvl w:val="0"/>
          <w:numId w:val="1"/>
        </w:numPr>
        <w:spacing w:line="360" w:lineRule="auto"/>
        <w:jc w:val="both"/>
        <w:rPr>
          <w:rFonts w:ascii="Arial" w:hAnsi="Arial"/>
          <w:noProof w:val="0"/>
        </w:rPr>
      </w:pPr>
      <w:r>
        <w:rPr>
          <w:rFonts w:ascii="Arial" w:hAnsi="Arial" w:hint="cs"/>
          <w:noProof w:val="0"/>
          <w:rtl/>
        </w:rPr>
        <w:t>הוגשה בקשת הצטרפות מטעם נושה בשם מועאד שלש, לטובתו ניתן פסק דין ע</w:t>
      </w:r>
      <w:r w:rsidR="00D13B05">
        <w:rPr>
          <w:rFonts w:ascii="Arial" w:hAnsi="Arial" w:hint="cs"/>
          <w:noProof w:val="0"/>
          <w:rtl/>
        </w:rPr>
        <w:t xml:space="preserve">ל ידי בית משפט השלום בטבריה (ת"א 28135-02-14). נושה זה פתח תיק הוצל"פ (523977-06-19) נגד העמותה, לשם ביצוע פסק הדין. יתרת החוב בהוצל"פ נכון ליום 3.11.2022 </w:t>
      </w:r>
      <w:r w:rsidR="00E34EE7">
        <w:rPr>
          <w:rFonts w:ascii="Arial" w:hAnsi="Arial" w:hint="cs"/>
          <w:noProof w:val="0"/>
          <w:rtl/>
        </w:rPr>
        <w:t>עמדה על</w:t>
      </w:r>
      <w:r w:rsidR="00D13B05">
        <w:rPr>
          <w:rFonts w:ascii="Arial" w:hAnsi="Arial" w:hint="cs"/>
          <w:noProof w:val="0"/>
          <w:rtl/>
        </w:rPr>
        <w:t xml:space="preserve"> סך 823,854 ₪. </w:t>
      </w:r>
    </w:p>
    <w:p w:rsidR="00D13B05" w:rsidRPr="00D13B05" w:rsidRDefault="00D13B05" w:rsidP="00D13B05">
      <w:pPr>
        <w:pStyle w:val="ad"/>
        <w:rPr>
          <w:rFonts w:ascii="Arial" w:hAnsi="Arial"/>
          <w:noProof w:val="0"/>
          <w:rtl/>
        </w:rPr>
      </w:pPr>
    </w:p>
    <w:p w:rsidR="00D13B05" w:rsidRDefault="00D13B05" w:rsidP="00E34EE7">
      <w:pPr>
        <w:pStyle w:val="ad"/>
        <w:numPr>
          <w:ilvl w:val="0"/>
          <w:numId w:val="1"/>
        </w:numPr>
        <w:spacing w:line="360" w:lineRule="auto"/>
        <w:jc w:val="both"/>
        <w:rPr>
          <w:rFonts w:ascii="Arial" w:hAnsi="Arial"/>
          <w:noProof w:val="0"/>
        </w:rPr>
      </w:pPr>
      <w:r>
        <w:rPr>
          <w:rFonts w:ascii="Arial" w:hAnsi="Arial" w:hint="cs"/>
          <w:noProof w:val="0"/>
          <w:rtl/>
        </w:rPr>
        <w:t xml:space="preserve">הוגשה בקשת הצטרפות נוספת מטעם ד. ניב בניה ופיתוח בע"מ (להלן: </w:t>
      </w:r>
      <w:r>
        <w:rPr>
          <w:rFonts w:ascii="Arial" w:hAnsi="Arial" w:hint="cs"/>
          <w:b/>
          <w:bCs/>
          <w:noProof w:val="0"/>
          <w:rtl/>
        </w:rPr>
        <w:t>"ניב בניה"</w:t>
      </w:r>
      <w:r>
        <w:rPr>
          <w:rFonts w:ascii="Arial" w:hAnsi="Arial" w:hint="cs"/>
          <w:noProof w:val="0"/>
          <w:rtl/>
        </w:rPr>
        <w:t xml:space="preserve">), הטוענת לחוב </w:t>
      </w:r>
      <w:r w:rsidR="00E34EE7">
        <w:rPr>
          <w:rFonts w:ascii="Arial" w:hAnsi="Arial" w:hint="cs"/>
          <w:noProof w:val="0"/>
          <w:rtl/>
        </w:rPr>
        <w:t xml:space="preserve">של העמותה </w:t>
      </w:r>
      <w:r>
        <w:rPr>
          <w:rFonts w:ascii="Arial" w:hAnsi="Arial" w:hint="cs"/>
          <w:noProof w:val="0"/>
          <w:rtl/>
        </w:rPr>
        <w:t xml:space="preserve">בסך 2,580,853 ₪, על בסיס פסק דין שניתן בבית משפט השלום בפתח תקוה מיום 31.1.20223. בא כוח ניב בניה </w:t>
      </w:r>
      <w:r>
        <w:rPr>
          <w:rFonts w:ascii="Arial" w:hAnsi="Arial"/>
          <w:noProof w:val="0"/>
          <w:rtl/>
        </w:rPr>
        <w:t>–</w:t>
      </w:r>
      <w:r>
        <w:rPr>
          <w:rFonts w:ascii="Arial" w:hAnsi="Arial" w:hint="cs"/>
          <w:noProof w:val="0"/>
          <w:rtl/>
        </w:rPr>
        <w:t xml:space="preserve"> עו"ד אשר אקסלרד, ביקש כי ככול שיוחלט על פירוק העמותה, למנותו כבעל תפקיד, בין היתר, הואיל וחברה זו הינה הנושה הגדול ביותר של העמותה.</w:t>
      </w:r>
    </w:p>
    <w:p w:rsidR="00D13B05" w:rsidRPr="00D13B05" w:rsidRDefault="00D13B05" w:rsidP="00D13B05">
      <w:pPr>
        <w:pStyle w:val="ad"/>
        <w:rPr>
          <w:rFonts w:ascii="Arial" w:hAnsi="Arial"/>
          <w:noProof w:val="0"/>
          <w:rtl/>
        </w:rPr>
      </w:pPr>
    </w:p>
    <w:p w:rsidR="00D13B05" w:rsidRDefault="00D13B05" w:rsidP="00D13B05">
      <w:pPr>
        <w:pStyle w:val="ad"/>
        <w:numPr>
          <w:ilvl w:val="0"/>
          <w:numId w:val="1"/>
        </w:numPr>
        <w:spacing w:line="360" w:lineRule="auto"/>
        <w:jc w:val="both"/>
        <w:rPr>
          <w:rFonts w:ascii="Arial" w:hAnsi="Arial"/>
          <w:noProof w:val="0"/>
        </w:rPr>
      </w:pPr>
      <w:r>
        <w:rPr>
          <w:rFonts w:ascii="Arial" w:hAnsi="Arial" w:hint="cs"/>
          <w:noProof w:val="0"/>
          <w:rtl/>
        </w:rPr>
        <w:t>אף רשם העמותות ביקש להצטרף לבקשת הפירוק. מטעם הרשם נטען, כי התגבש חש</w:t>
      </w:r>
      <w:r w:rsidR="00E34EE7">
        <w:rPr>
          <w:rFonts w:ascii="Arial" w:hAnsi="Arial" w:hint="cs"/>
          <w:noProof w:val="0"/>
          <w:rtl/>
        </w:rPr>
        <w:t>ש</w:t>
      </w:r>
      <w:r>
        <w:rPr>
          <w:rFonts w:ascii="Arial" w:hAnsi="Arial" w:hint="cs"/>
          <w:noProof w:val="0"/>
          <w:rtl/>
        </w:rPr>
        <w:t xml:space="preserve"> ממשי להעברת כספים שלא כדין ולחלוקת רווחים אסורה למר איסר שפריי, מייסד העמותה וראש הישיבה; חשש להעברת כספים שלא כדין למר שמחה רדין, מורשה חתימה בעמותה או לצדדים שלישיים; רישום התחייבויות העמותה בספריי הנהלת החשבונות כלפי שפריי ורדין שלא כדין בהיקפים של מיליוני שקלים; והכול </w:t>
      </w:r>
      <w:r>
        <w:rPr>
          <w:rFonts w:ascii="Arial" w:hAnsi="Arial"/>
          <w:noProof w:val="0"/>
          <w:rtl/>
        </w:rPr>
        <w:t>–</w:t>
      </w:r>
      <w:r>
        <w:rPr>
          <w:rFonts w:ascii="Arial" w:hAnsi="Arial" w:hint="cs"/>
          <w:noProof w:val="0"/>
          <w:rtl/>
        </w:rPr>
        <w:t xml:space="preserve"> ללא אסמכתאות מבססות ובהעדר אישור של מוסדות העמותה וזאת, חרף ניגוד העניינים הטמון בקבלת הכספים האמורים מהעמותה על ידי מייסד העמותה ומורשה חתימה בעמותה. עוד נטען, כי נעשה שימוש שלא כדין בנכסי העמו</w:t>
      </w:r>
      <w:r w:rsidR="00BA3F98">
        <w:rPr>
          <w:rFonts w:ascii="Arial" w:hAnsi="Arial" w:hint="cs"/>
          <w:noProof w:val="0"/>
          <w:rtl/>
        </w:rPr>
        <w:t>תה, שלא לצורך קידום מטרותיה והו</w:t>
      </w:r>
      <w:r>
        <w:rPr>
          <w:rFonts w:ascii="Arial" w:hAnsi="Arial" w:hint="cs"/>
          <w:noProof w:val="0"/>
          <w:rtl/>
        </w:rPr>
        <w:t xml:space="preserve">פרה חובת חברי הוועד לפעול לטובת העמותה והכול </w:t>
      </w:r>
      <w:r>
        <w:rPr>
          <w:rFonts w:ascii="Arial" w:hAnsi="Arial"/>
          <w:noProof w:val="0"/>
          <w:rtl/>
        </w:rPr>
        <w:t>–</w:t>
      </w:r>
      <w:r>
        <w:rPr>
          <w:rFonts w:ascii="Arial" w:hAnsi="Arial" w:hint="cs"/>
          <w:noProof w:val="0"/>
          <w:rtl/>
        </w:rPr>
        <w:t xml:space="preserve"> בניגוד לחוק העמותות, תש"ם-1980 (להלן: </w:t>
      </w:r>
      <w:r>
        <w:rPr>
          <w:rFonts w:ascii="Arial" w:hAnsi="Arial" w:hint="cs"/>
          <w:b/>
          <w:bCs/>
          <w:noProof w:val="0"/>
          <w:rtl/>
        </w:rPr>
        <w:t>"חוק העמותות"</w:t>
      </w:r>
      <w:r>
        <w:rPr>
          <w:rFonts w:ascii="Arial" w:hAnsi="Arial" w:hint="cs"/>
          <w:noProof w:val="0"/>
          <w:rtl/>
        </w:rPr>
        <w:t xml:space="preserve">) ולהנחיות הרשם לניהול עמותות. </w:t>
      </w:r>
    </w:p>
    <w:p w:rsidR="00D13B05" w:rsidRPr="00D13B05" w:rsidRDefault="00D13B05" w:rsidP="00D13B05">
      <w:pPr>
        <w:pStyle w:val="ad"/>
        <w:rPr>
          <w:rFonts w:ascii="Arial" w:hAnsi="Arial"/>
          <w:noProof w:val="0"/>
          <w:rtl/>
        </w:rPr>
      </w:pPr>
    </w:p>
    <w:p w:rsidR="00D13B05" w:rsidRDefault="004D304C" w:rsidP="00E34EE7">
      <w:pPr>
        <w:pStyle w:val="ad"/>
        <w:numPr>
          <w:ilvl w:val="0"/>
          <w:numId w:val="1"/>
        </w:numPr>
        <w:spacing w:line="360" w:lineRule="auto"/>
        <w:jc w:val="both"/>
        <w:rPr>
          <w:rFonts w:ascii="Arial" w:hAnsi="Arial"/>
          <w:noProof w:val="0"/>
        </w:rPr>
      </w:pPr>
      <w:r>
        <w:rPr>
          <w:rFonts w:ascii="Arial" w:hAnsi="Arial" w:hint="cs"/>
          <w:noProof w:val="0"/>
          <w:rtl/>
        </w:rPr>
        <w:t>העמותה הוקמה בשנת 2011 והתמחותה בקידום נוער בסיכון מכול רחבי הארץ. העמותה הפעילה ישיבה תיכונית לכיתות ט'-</w:t>
      </w:r>
      <w:r w:rsidR="00BA3F98">
        <w:rPr>
          <w:rFonts w:ascii="Arial" w:hAnsi="Arial" w:hint="cs"/>
          <w:noProof w:val="0"/>
          <w:rtl/>
        </w:rPr>
        <w:t xml:space="preserve"> י"ב</w:t>
      </w:r>
      <w:r>
        <w:rPr>
          <w:rFonts w:ascii="Arial" w:hAnsi="Arial" w:hint="cs"/>
          <w:noProof w:val="0"/>
          <w:rtl/>
        </w:rPr>
        <w:t xml:space="preserve"> בעיר פתח תקווה</w:t>
      </w:r>
      <w:r w:rsidR="007328A5">
        <w:rPr>
          <w:rFonts w:ascii="Arial" w:hAnsi="Arial" w:hint="cs"/>
          <w:noProof w:val="0"/>
          <w:rtl/>
        </w:rPr>
        <w:t xml:space="preserve"> (ישיבת ידידיה)</w:t>
      </w:r>
      <w:r>
        <w:rPr>
          <w:rFonts w:ascii="Arial" w:hAnsi="Arial" w:hint="cs"/>
          <w:noProof w:val="0"/>
          <w:rtl/>
        </w:rPr>
        <w:t xml:space="preserve">. נטען מטעם העמותה כי בראשית דרכה, הישיבה הוקמה על ידי "עמותת משיבים", אשר התקשרה בהסכם שכירות עם חברת דגל ראובן בע"מ, אשר מחזיקה בשרשור את הזכויות בנכס ברחוב רוטשילד 85-87 בפתח תקווה, מטעם עמותת דגל ראובן (להלן" </w:t>
      </w:r>
      <w:r>
        <w:rPr>
          <w:rFonts w:ascii="Arial" w:hAnsi="Arial" w:hint="cs"/>
          <w:b/>
          <w:bCs/>
          <w:noProof w:val="0"/>
          <w:rtl/>
        </w:rPr>
        <w:t>"עמותת דגל ראובן"</w:t>
      </w:r>
      <w:r>
        <w:rPr>
          <w:rFonts w:ascii="Arial" w:hAnsi="Arial" w:hint="cs"/>
          <w:noProof w:val="0"/>
          <w:rtl/>
        </w:rPr>
        <w:t xml:space="preserve">). בסמוך להקמת העמותה בוצעה העברת "סמל מוסד" מעמותת משיבים לידי העמותה. העמותה הגישה תביעה לבית משפט השלום למתן פסק דין הצהרתי שיכיר בזכויותיה, לשם מניעת פינויה מהנכס, אולם תביעתה נדחתה. העמותה </w:t>
      </w:r>
      <w:r w:rsidR="00E34EE7">
        <w:rPr>
          <w:rFonts w:ascii="Arial" w:hAnsi="Arial" w:hint="cs"/>
          <w:noProof w:val="0"/>
          <w:rtl/>
        </w:rPr>
        <w:t>ה</w:t>
      </w:r>
      <w:r>
        <w:rPr>
          <w:rFonts w:ascii="Arial" w:hAnsi="Arial" w:hint="cs"/>
          <w:noProof w:val="0"/>
          <w:rtl/>
        </w:rPr>
        <w:t xml:space="preserve">גישה לבית המשפט המחוזי מרכז ערעור (ע"א 465821-05-22) וביום 25.12.22 נדחה הערעור, דבר שיחייב את פינוי הנכס בקרוב. </w:t>
      </w:r>
    </w:p>
    <w:p w:rsidR="004D304C" w:rsidRPr="004D304C" w:rsidRDefault="004D304C" w:rsidP="004D304C">
      <w:pPr>
        <w:pStyle w:val="ad"/>
        <w:rPr>
          <w:rFonts w:ascii="Arial" w:hAnsi="Arial"/>
          <w:noProof w:val="0"/>
          <w:rtl/>
        </w:rPr>
      </w:pPr>
    </w:p>
    <w:p w:rsidR="004D304C" w:rsidRDefault="004D304C" w:rsidP="00D13B05">
      <w:pPr>
        <w:pStyle w:val="ad"/>
        <w:numPr>
          <w:ilvl w:val="0"/>
          <w:numId w:val="1"/>
        </w:numPr>
        <w:spacing w:line="360" w:lineRule="auto"/>
        <w:jc w:val="both"/>
        <w:rPr>
          <w:rFonts w:ascii="Arial" w:hAnsi="Arial"/>
          <w:noProof w:val="0"/>
        </w:rPr>
      </w:pPr>
      <w:r>
        <w:rPr>
          <w:rFonts w:ascii="Arial" w:hAnsi="Arial" w:hint="cs"/>
          <w:noProof w:val="0"/>
          <w:rtl/>
        </w:rPr>
        <w:t xml:space="preserve">בהתנגדות העמותה לבקשת הפירוק צוין, כי היא מתכוונת לעתור בבקשה להסדר עם נושיה. בהקשר זה צוין, כי עמותת תלמי אברהם-נהורא (להלן: </w:t>
      </w:r>
      <w:r>
        <w:rPr>
          <w:rFonts w:ascii="Arial" w:hAnsi="Arial" w:hint="cs"/>
          <w:b/>
          <w:bCs/>
          <w:noProof w:val="0"/>
          <w:rtl/>
        </w:rPr>
        <w:t>"עמותת נהורא"</w:t>
      </w:r>
      <w:r>
        <w:rPr>
          <w:rFonts w:ascii="Arial" w:hAnsi="Arial" w:hint="cs"/>
          <w:noProof w:val="0"/>
          <w:rtl/>
        </w:rPr>
        <w:t xml:space="preserve">), העוסקת אף היא בהקמה וניהול ישיבות תיכוניות, הביעה הסכמה עקרונית לקלוט אליה את פעילות הישיבה </w:t>
      </w:r>
      <w:r>
        <w:rPr>
          <w:rFonts w:ascii="Arial" w:hAnsi="Arial" w:hint="cs"/>
          <w:noProof w:val="0"/>
          <w:rtl/>
        </w:rPr>
        <w:lastRenderedPageBreak/>
        <w:t>ולהקצות לשם כך סכום כספי לצורך הסדר עם נושי העמותה. כחלק מהצעת הסדר הנושים, עמותת נהורא תקלוט אליה את פעילות הישיבה תוך התח</w:t>
      </w:r>
      <w:r w:rsidR="00217AC7">
        <w:rPr>
          <w:rFonts w:ascii="Arial" w:hAnsi="Arial" w:hint="cs"/>
          <w:noProof w:val="0"/>
          <w:rtl/>
        </w:rPr>
        <w:t>ייבות העמותה לפעול לתיקון הליקויים עליהם הצב</w:t>
      </w:r>
      <w:r w:rsidR="00E34EE7">
        <w:rPr>
          <w:rFonts w:ascii="Arial" w:hAnsi="Arial" w:hint="cs"/>
          <w:noProof w:val="0"/>
          <w:rtl/>
        </w:rPr>
        <w:t>י</w:t>
      </w:r>
      <w:r w:rsidR="00217AC7">
        <w:rPr>
          <w:rFonts w:ascii="Arial" w:hAnsi="Arial" w:hint="cs"/>
          <w:noProof w:val="0"/>
          <w:rtl/>
        </w:rPr>
        <w:t xml:space="preserve">ע רשם העמותות והגשת הבהרות והסברים נחוצים. נטען, כי תנאי בלעדיו אין לביצוע תשלום לנושי העמותה מטעם עמותת נהורא הוא אישור הסדר נושים לעמותה. לטענת העמותה, במידה ויינתן צו פירוק שלא במסגרת הסדר נושים, הדבר עלול להוביל בסבירות גבוהה לסגירה </w:t>
      </w:r>
      <w:r w:rsidR="007328A5">
        <w:rPr>
          <w:rFonts w:ascii="Arial" w:hAnsi="Arial" w:hint="cs"/>
          <w:noProof w:val="0"/>
          <w:rtl/>
        </w:rPr>
        <w:t>מידית</w:t>
      </w:r>
      <w:r w:rsidR="00217AC7">
        <w:rPr>
          <w:rFonts w:ascii="Arial" w:hAnsi="Arial" w:hint="cs"/>
          <w:noProof w:val="0"/>
          <w:rtl/>
        </w:rPr>
        <w:t xml:space="preserve"> של בית הספר בעיצומה של שנת הלימודים. עוד צוין, כי בכוונת העמותה להמחות את זכות התביעה העומדת לה כנגד חברת דגל ראובן ועמותת דגל ראובן בגין ההשקעות הכספיות הגבוהות שביצעה העמותה בנכס, לאור הסכם השכירות ארוך הטווח (24 שנים) שנחתם. עוד נטען מטעם העמותה, כי אם לא יינתן צו להקפאת הליכים שיאפשר ניהול תקין של הסדר נושים, תפקע זכאות העמותה לכספי התמיכה מתורמיה וכן ירד לטמיון הסכום שהוקצה על ידי עמותת נהורא לטובת הסדר הנושים. נטען, כי "מתן צו הקפאת הליכים לפרק זמן מוגבל הינו חיוני ומתבקש, ויש בו כדי לשרת את כלל הצדדים המעורבים" (סעיף 41 להתנגדות מטעם העמותה). </w:t>
      </w:r>
    </w:p>
    <w:p w:rsidR="005076B9" w:rsidRDefault="005076B9" w:rsidP="005076B9">
      <w:pPr>
        <w:pStyle w:val="ad"/>
        <w:spacing w:line="360" w:lineRule="auto"/>
        <w:jc w:val="both"/>
        <w:rPr>
          <w:rFonts w:ascii="Arial" w:hAnsi="Arial"/>
          <w:noProof w:val="0"/>
        </w:rPr>
      </w:pPr>
    </w:p>
    <w:p w:rsidR="00217AC7" w:rsidRDefault="00217AC7" w:rsidP="00F21246">
      <w:pPr>
        <w:pStyle w:val="ad"/>
        <w:numPr>
          <w:ilvl w:val="0"/>
          <w:numId w:val="1"/>
        </w:numPr>
        <w:spacing w:line="360" w:lineRule="auto"/>
        <w:jc w:val="both"/>
        <w:rPr>
          <w:rFonts w:ascii="Arial" w:hAnsi="Arial"/>
          <w:noProof w:val="0"/>
        </w:rPr>
      </w:pPr>
      <w:r>
        <w:rPr>
          <w:rFonts w:ascii="Arial" w:hAnsi="Arial" w:hint="cs"/>
          <w:noProof w:val="0"/>
          <w:rtl/>
        </w:rPr>
        <w:t xml:space="preserve">בהתנגדות העמותה לבקשת הפירוק צוינו חובות העמותה לגורמים השונים: חובות לעובדים בסדר גודל של 2-3 מיליוני ₪, חובות לספקים (הכוונה לניב בניה) בסדר גודל של 2.5 מיליון ₪; חוב לבנקים </w:t>
      </w:r>
      <w:r w:rsidR="00F21246">
        <w:rPr>
          <w:rFonts w:ascii="Arial" w:hAnsi="Arial" w:hint="cs"/>
          <w:noProof w:val="0"/>
          <w:rtl/>
        </w:rPr>
        <w:t xml:space="preserve">פאג"י ומרכנתיל דיסקונט </w:t>
      </w:r>
      <w:r>
        <w:rPr>
          <w:rFonts w:ascii="Arial" w:hAnsi="Arial" w:hint="cs"/>
          <w:noProof w:val="0"/>
          <w:rtl/>
        </w:rPr>
        <w:t>על סך כ-2.8 מיליון ₪</w:t>
      </w:r>
      <w:r w:rsidR="00F21246">
        <w:rPr>
          <w:rFonts w:ascii="Arial" w:hAnsi="Arial" w:hint="cs"/>
          <w:noProof w:val="0"/>
          <w:rtl/>
        </w:rPr>
        <w:t xml:space="preserve"> (לבנק פאג"י) ועל סך מאה אלף ₪ (לבנק מרכנתיל)</w:t>
      </w:r>
      <w:r>
        <w:rPr>
          <w:rFonts w:ascii="Arial" w:hAnsi="Arial" w:hint="cs"/>
          <w:noProof w:val="0"/>
          <w:rtl/>
        </w:rPr>
        <w:t xml:space="preserve">; חוב לעירית פתח תקווה על סך כ-100,000 ₪; חוב למס הכנסה בסדר גודל של 1-1.5 מיליון ₪; חוב לביטוח לאומי בסך כ-500 אלף ₪; חוב לפועל שנפצע (הכוונה למועאד שלש) בסך </w:t>
      </w:r>
      <w:r w:rsidR="005076B9">
        <w:rPr>
          <w:rFonts w:ascii="Arial" w:hAnsi="Arial" w:hint="cs"/>
          <w:noProof w:val="0"/>
          <w:rtl/>
        </w:rPr>
        <w:t>של כ-800 אלף ₪; חוב למשכירת הנכס של עשרות אלפי ₪ וחובות למ</w:t>
      </w:r>
      <w:r w:rsidR="007328A5">
        <w:rPr>
          <w:rFonts w:ascii="Arial" w:hAnsi="Arial" w:hint="cs"/>
          <w:noProof w:val="0"/>
          <w:rtl/>
        </w:rPr>
        <w:t>ל</w:t>
      </w:r>
      <w:r w:rsidR="005076B9">
        <w:rPr>
          <w:rFonts w:ascii="Arial" w:hAnsi="Arial" w:hint="cs"/>
          <w:noProof w:val="0"/>
          <w:rtl/>
        </w:rPr>
        <w:t xml:space="preserve">ווים פרטיים בסך של כ-500 אלף ₪. בסה"כ מדובר בחובות בסדר גודל של </w:t>
      </w:r>
      <w:r w:rsidR="007328A5">
        <w:rPr>
          <w:rFonts w:ascii="Arial" w:hAnsi="Arial" w:hint="cs"/>
          <w:noProof w:val="0"/>
          <w:rtl/>
        </w:rPr>
        <w:t>בין 10 לבין 11.5</w:t>
      </w:r>
      <w:r w:rsidR="005076B9">
        <w:rPr>
          <w:rFonts w:ascii="Arial" w:hAnsi="Arial" w:hint="cs"/>
          <w:noProof w:val="0"/>
          <w:rtl/>
        </w:rPr>
        <w:t xml:space="preserve"> מיליוני ₪. </w:t>
      </w:r>
    </w:p>
    <w:p w:rsidR="005076B9" w:rsidRPr="005076B9" w:rsidRDefault="005076B9" w:rsidP="005076B9">
      <w:pPr>
        <w:pStyle w:val="ad"/>
        <w:rPr>
          <w:rFonts w:ascii="Arial" w:hAnsi="Arial"/>
          <w:noProof w:val="0"/>
          <w:rtl/>
        </w:rPr>
      </w:pPr>
    </w:p>
    <w:p w:rsidR="005076B9" w:rsidRDefault="005076B9" w:rsidP="005076B9">
      <w:pPr>
        <w:pStyle w:val="ad"/>
        <w:numPr>
          <w:ilvl w:val="0"/>
          <w:numId w:val="1"/>
        </w:numPr>
        <w:spacing w:line="360" w:lineRule="auto"/>
        <w:jc w:val="both"/>
        <w:rPr>
          <w:rFonts w:ascii="Arial" w:hAnsi="Arial"/>
          <w:noProof w:val="0"/>
        </w:rPr>
      </w:pPr>
      <w:r>
        <w:rPr>
          <w:rFonts w:ascii="Arial" w:hAnsi="Arial" w:hint="cs"/>
          <w:noProof w:val="0"/>
          <w:rtl/>
        </w:rPr>
        <w:t xml:space="preserve">העמותה התייחסה לטענות </w:t>
      </w:r>
      <w:r w:rsidR="00C219D1">
        <w:rPr>
          <w:rFonts w:ascii="Arial" w:hAnsi="Arial" w:hint="cs"/>
          <w:noProof w:val="0"/>
          <w:rtl/>
        </w:rPr>
        <w:t>רשם העמותות וטענה, כי מסקנו</w:t>
      </w:r>
      <w:r>
        <w:rPr>
          <w:rFonts w:ascii="Arial" w:hAnsi="Arial" w:hint="cs"/>
          <w:noProof w:val="0"/>
          <w:rtl/>
        </w:rPr>
        <w:t>ת</w:t>
      </w:r>
      <w:r w:rsidR="00C219D1">
        <w:rPr>
          <w:rFonts w:ascii="Arial" w:hAnsi="Arial" w:hint="cs"/>
          <w:noProof w:val="0"/>
          <w:rtl/>
        </w:rPr>
        <w:t xml:space="preserve"> </w:t>
      </w:r>
      <w:r>
        <w:rPr>
          <w:rFonts w:ascii="Arial" w:hAnsi="Arial" w:hint="cs"/>
          <w:noProof w:val="0"/>
          <w:rtl/>
        </w:rPr>
        <w:t xml:space="preserve">הרשם אינן מבוססות. צוין דו"ח של רו"ח בשם ירוסלביץ' מטעם העמותה, אשר בחן את טענות הרשם ומצא כי מסקנות הרשם שגויות. נטען, כי הגשת בקשת פירוק מטעם הרשם הינה הסעד האחרון העומד לרשות הרשם מול עמותה שלא תיקנה ליקויים שנמצאו אצלה וכי העמותה התנהלה על פי אישורו של משרד רו"ח זיו האפט, שהוא רואה החשבון המבקר. </w:t>
      </w:r>
    </w:p>
    <w:p w:rsidR="00C219D1" w:rsidRPr="00C219D1" w:rsidRDefault="00C219D1" w:rsidP="00C219D1">
      <w:pPr>
        <w:pStyle w:val="ad"/>
        <w:rPr>
          <w:rFonts w:ascii="Arial" w:hAnsi="Arial"/>
          <w:noProof w:val="0"/>
          <w:rtl/>
        </w:rPr>
      </w:pPr>
    </w:p>
    <w:p w:rsidR="00C219D1" w:rsidRDefault="00C219D1" w:rsidP="007328A5">
      <w:pPr>
        <w:pStyle w:val="ad"/>
        <w:numPr>
          <w:ilvl w:val="0"/>
          <w:numId w:val="1"/>
        </w:numPr>
        <w:spacing w:line="360" w:lineRule="auto"/>
        <w:jc w:val="both"/>
        <w:rPr>
          <w:rFonts w:ascii="Arial" w:hAnsi="Arial"/>
          <w:noProof w:val="0"/>
        </w:rPr>
      </w:pPr>
      <w:r>
        <w:rPr>
          <w:rFonts w:ascii="Arial" w:hAnsi="Arial" w:hint="cs"/>
          <w:noProof w:val="0"/>
          <w:rtl/>
        </w:rPr>
        <w:t xml:space="preserve">עמותת דגל ראובן הגישה לפני הדיון כתב טענות, אך לא התייצבה לדיון. </w:t>
      </w:r>
      <w:r w:rsidR="007328A5">
        <w:rPr>
          <w:rFonts w:ascii="Arial" w:hAnsi="Arial" w:hint="cs"/>
          <w:noProof w:val="0"/>
          <w:rtl/>
        </w:rPr>
        <w:t>ל</w:t>
      </w:r>
      <w:r>
        <w:rPr>
          <w:rFonts w:ascii="Arial" w:hAnsi="Arial" w:hint="cs"/>
          <w:noProof w:val="0"/>
          <w:rtl/>
        </w:rPr>
        <w:t xml:space="preserve">כתב הטענות שהוגש מטעם עמותת דגל ראובן לא צורף תצהיר לתמיכה בעובדות שפורטו בו, אף שכותרת המסמך היא </w:t>
      </w:r>
      <w:r>
        <w:rPr>
          <w:rFonts w:ascii="Arial" w:hAnsi="Arial"/>
          <w:noProof w:val="0"/>
          <w:rtl/>
        </w:rPr>
        <w:t>–</w:t>
      </w:r>
      <w:r>
        <w:rPr>
          <w:rFonts w:ascii="Arial" w:hAnsi="Arial" w:hint="cs"/>
          <w:noProof w:val="0"/>
          <w:rtl/>
        </w:rPr>
        <w:t xml:space="preserve"> "התייחסות עובדתית לתגובת חינוך ומסורה". משום כך, אציין בתמצית כי במסמך נכתב, כי לפי פסק דינו של בית המשפט המחוזי מרכז בערעור העמותה, נקבע כי אם ישולם סכום מסוים לעמותת דגל ראובן (סכום ששולם בפועל על ידי מספר גורמים), </w:t>
      </w:r>
      <w:r w:rsidR="00BA3F98">
        <w:rPr>
          <w:rFonts w:ascii="Arial" w:hAnsi="Arial" w:hint="cs"/>
          <w:noProof w:val="0"/>
          <w:rtl/>
        </w:rPr>
        <w:t xml:space="preserve">התלמידים יישארו ללמוד בנכס עד סוף שנת הלימודים הנוכחית. נטען, כי בתום שנת הלימודים הנוכחית, </w:t>
      </w:r>
      <w:r w:rsidR="007328A5">
        <w:rPr>
          <w:rFonts w:ascii="Arial" w:hAnsi="Arial" w:hint="cs"/>
          <w:noProof w:val="0"/>
          <w:rtl/>
        </w:rPr>
        <w:lastRenderedPageBreak/>
        <w:t>י</w:t>
      </w:r>
      <w:r w:rsidR="00BA3F98">
        <w:rPr>
          <w:rFonts w:ascii="Arial" w:hAnsi="Arial" w:hint="cs"/>
          <w:noProof w:val="0"/>
          <w:rtl/>
        </w:rPr>
        <w:t>היה על ישיבת ידידיה לעזוב את המקום ולא תהיה הסכמה להארכת תקופת השכירות "ולא משנה מי יפעיל את הישיבה". עוד נטען, כי לעמותה יש חוב כלפי עמותת דגל ראובן בגין כל סכומי המע"מ של שכר הדירה מראשית 2019 ועד פברואר 2022 וכי ישנם הפרשי שכר דירה שדגל ראובן מעמידה אותם (ללא הערכה מדויקת) על סך 200,000 ₪ נוספים.</w:t>
      </w:r>
    </w:p>
    <w:p w:rsidR="005076B9" w:rsidRPr="005076B9" w:rsidRDefault="005076B9" w:rsidP="005076B9">
      <w:pPr>
        <w:pStyle w:val="ad"/>
        <w:rPr>
          <w:rFonts w:ascii="Arial" w:hAnsi="Arial"/>
          <w:noProof w:val="0"/>
          <w:rtl/>
        </w:rPr>
      </w:pPr>
    </w:p>
    <w:p w:rsidR="005076B9" w:rsidRDefault="005076B9" w:rsidP="005076B9">
      <w:pPr>
        <w:spacing w:line="360" w:lineRule="auto"/>
        <w:jc w:val="both"/>
        <w:rPr>
          <w:rFonts w:ascii="Arial" w:hAnsi="Arial"/>
          <w:noProof w:val="0"/>
          <w:rtl/>
        </w:rPr>
      </w:pPr>
      <w:r>
        <w:rPr>
          <w:rFonts w:ascii="Arial" w:hAnsi="Arial" w:hint="cs"/>
          <w:b/>
          <w:bCs/>
          <w:noProof w:val="0"/>
          <w:u w:val="single"/>
          <w:rtl/>
        </w:rPr>
        <w:t>הדיון מיום 18.4.2023</w:t>
      </w:r>
    </w:p>
    <w:p w:rsidR="005076B9" w:rsidRDefault="005076B9" w:rsidP="007328A5">
      <w:pPr>
        <w:pStyle w:val="ad"/>
        <w:numPr>
          <w:ilvl w:val="0"/>
          <w:numId w:val="1"/>
        </w:numPr>
        <w:spacing w:line="360" w:lineRule="auto"/>
        <w:jc w:val="both"/>
        <w:rPr>
          <w:rFonts w:ascii="Arial" w:hAnsi="Arial"/>
          <w:noProof w:val="0"/>
        </w:rPr>
      </w:pPr>
      <w:r>
        <w:rPr>
          <w:rFonts w:ascii="Arial" w:hAnsi="Arial" w:hint="cs"/>
          <w:noProof w:val="0"/>
          <w:rtl/>
        </w:rPr>
        <w:t xml:space="preserve">בהתנגדות העמותה צוין, כי בסעיף 376 לחוק חדלות פירעון ושיקום כלכלי, תשע"ח-2018 (להלן: </w:t>
      </w:r>
      <w:r>
        <w:rPr>
          <w:rFonts w:ascii="Arial" w:hAnsi="Arial" w:hint="cs"/>
          <w:b/>
          <w:bCs/>
          <w:noProof w:val="0"/>
          <w:rtl/>
        </w:rPr>
        <w:t>"חוק חדלות פירעון</w:t>
      </w:r>
      <w:r>
        <w:rPr>
          <w:rFonts w:ascii="Arial" w:hAnsi="Arial" w:hint="cs"/>
          <w:noProof w:val="0"/>
          <w:rtl/>
        </w:rPr>
        <w:t>") נקבע כי לפרק זמן של חמש שנים מיום תחולת החוק, יחולו על עמותות ה</w:t>
      </w:r>
      <w:r w:rsidR="007328A5">
        <w:rPr>
          <w:rFonts w:ascii="Arial" w:hAnsi="Arial" w:hint="cs"/>
          <w:noProof w:val="0"/>
          <w:rtl/>
        </w:rPr>
        <w:t>ו</w:t>
      </w:r>
      <w:r>
        <w:rPr>
          <w:rFonts w:ascii="Arial" w:hAnsi="Arial" w:hint="cs"/>
          <w:noProof w:val="0"/>
          <w:rtl/>
        </w:rPr>
        <w:t>ראות חוק העמותות, פקודת החברות וחוק החברות וכי האכסניה המשפטית להצעת הסדר הנושים מצויה בסעיף 350 לחוק החברות</w:t>
      </w:r>
      <w:r w:rsidR="007328A5">
        <w:rPr>
          <w:rFonts w:ascii="Arial" w:hAnsi="Arial" w:hint="cs"/>
          <w:noProof w:val="0"/>
          <w:rtl/>
        </w:rPr>
        <w:t>, תשנ"ט-1999</w:t>
      </w:r>
      <w:r>
        <w:rPr>
          <w:rFonts w:ascii="Arial" w:hAnsi="Arial" w:hint="cs"/>
          <w:noProof w:val="0"/>
          <w:rtl/>
        </w:rPr>
        <w:t xml:space="preserve"> (להלן: </w:t>
      </w:r>
      <w:r>
        <w:rPr>
          <w:rFonts w:ascii="Arial" w:hAnsi="Arial" w:hint="cs"/>
          <w:b/>
          <w:bCs/>
          <w:noProof w:val="0"/>
          <w:rtl/>
        </w:rPr>
        <w:t>"חוק החברות"</w:t>
      </w:r>
      <w:r>
        <w:rPr>
          <w:rFonts w:ascii="Arial" w:hAnsi="Arial" w:hint="cs"/>
          <w:noProof w:val="0"/>
          <w:rtl/>
        </w:rPr>
        <w:t>). נטען, כי לפי סעיף 350(ב) לחוק החברות, כאשר מ</w:t>
      </w:r>
      <w:r w:rsidR="00A51FEA">
        <w:rPr>
          <w:rFonts w:ascii="Arial" w:hAnsi="Arial" w:hint="cs"/>
          <w:noProof w:val="0"/>
          <w:rtl/>
        </w:rPr>
        <w:t xml:space="preserve">וגשת בקשה לפשרה או הסדר וכל עוד לא ניתן צו פירוק, רשאי בית המשפט ליתן צו הקפאת הליכים לתקופה שלא תעלה על תשעה חודשים, אם שוכנע בית המשפט כי יהיה בכך כדי לסייע לגיבושה או אישורה של תכנית שמטרתה להבריא את התאגיד. </w:t>
      </w:r>
    </w:p>
    <w:p w:rsidR="00A51FEA" w:rsidRDefault="00A51FEA" w:rsidP="00A51FEA">
      <w:pPr>
        <w:spacing w:line="360" w:lineRule="auto"/>
        <w:jc w:val="both"/>
        <w:rPr>
          <w:rFonts w:ascii="Arial" w:hAnsi="Arial"/>
          <w:noProof w:val="0"/>
          <w:rtl/>
        </w:rPr>
      </w:pPr>
    </w:p>
    <w:p w:rsidR="00A51FEA" w:rsidRDefault="00A51FEA" w:rsidP="00A51FEA">
      <w:pPr>
        <w:pStyle w:val="ad"/>
        <w:numPr>
          <w:ilvl w:val="0"/>
          <w:numId w:val="1"/>
        </w:numPr>
        <w:spacing w:line="360" w:lineRule="auto"/>
        <w:jc w:val="both"/>
        <w:rPr>
          <w:rFonts w:ascii="Arial" w:hAnsi="Arial"/>
          <w:noProof w:val="0"/>
        </w:rPr>
      </w:pPr>
      <w:r>
        <w:rPr>
          <w:rFonts w:ascii="Arial" w:hAnsi="Arial" w:hint="cs"/>
          <w:noProof w:val="0"/>
          <w:rtl/>
        </w:rPr>
        <w:t>בדיון הפניתי את תשומת ליבו של בא כוח העמותה לסעיף 354 לחוק חדלות פירעון, אשר החליף את הוראת סעיף 380 לפקודת החברות, על פיו מוסמך שר המשפטים להחיל את הוראות חוק חדלות פירעון על חבר בני אדם מסוים שאינו תאגיד כהגדרתו בסעף 4 לחוק חדלות פירעון. על כך הגיב בא כוח העמותה בדברים הבאים</w:t>
      </w:r>
      <w:r w:rsidR="00A734D8">
        <w:rPr>
          <w:rFonts w:ascii="Arial" w:hAnsi="Arial" w:hint="cs"/>
          <w:noProof w:val="0"/>
          <w:rtl/>
        </w:rPr>
        <w:t xml:space="preserve"> (עמוד 2 לפרוטוקול, שורות 5-8)</w:t>
      </w:r>
      <w:r>
        <w:rPr>
          <w:rFonts w:ascii="Arial" w:hAnsi="Arial" w:hint="cs"/>
          <w:noProof w:val="0"/>
          <w:rtl/>
        </w:rPr>
        <w:t xml:space="preserve">: </w:t>
      </w:r>
    </w:p>
    <w:p w:rsidR="00A51FEA" w:rsidRPr="00A51FEA" w:rsidRDefault="00A51FEA" w:rsidP="00A51FEA">
      <w:pPr>
        <w:pStyle w:val="ad"/>
        <w:rPr>
          <w:rFonts w:ascii="Arial" w:hAnsi="Arial"/>
          <w:noProof w:val="0"/>
          <w:rtl/>
        </w:rPr>
      </w:pPr>
    </w:p>
    <w:p w:rsidR="00A51FEA" w:rsidRDefault="00A51FEA" w:rsidP="00A51FEA">
      <w:pPr>
        <w:spacing w:line="360" w:lineRule="auto"/>
        <w:ind w:left="1440"/>
        <w:jc w:val="both"/>
        <w:rPr>
          <w:rFonts w:ascii="Arial" w:hAnsi="Arial"/>
          <w:noProof w:val="0"/>
          <w:rtl/>
        </w:rPr>
      </w:pPr>
      <w:r>
        <w:rPr>
          <w:rFonts w:ascii="Arial" w:hAnsi="Arial" w:hint="cs"/>
          <w:b/>
          <w:bCs/>
          <w:noProof w:val="0"/>
          <w:rtl/>
        </w:rPr>
        <w:t xml:space="preserve">"אני שומע כאן שהואיל ואין תעודת השלמה ככה שממילא חלקים מסוימים של הדיון היום יצטרכו להידחות, אני סבור שנוכל לתקן פגמים שנפלו, הן בנושא של הצעת הסדר נושים יותר מפורטת והן בנושא קבלת אישור השר ככל שנדרש, אם נדרש, למרות הוראת סעיף 376 לחוק חדל"ת". </w:t>
      </w:r>
    </w:p>
    <w:p w:rsidR="00A51FEA" w:rsidRDefault="00A51FEA" w:rsidP="00A51FEA">
      <w:pPr>
        <w:spacing w:line="360" w:lineRule="auto"/>
        <w:ind w:left="1440"/>
        <w:jc w:val="both"/>
        <w:rPr>
          <w:rFonts w:ascii="Arial" w:hAnsi="Arial"/>
          <w:noProof w:val="0"/>
          <w:rtl/>
        </w:rPr>
      </w:pPr>
    </w:p>
    <w:p w:rsidR="00A51FEA" w:rsidRDefault="00A51FEA" w:rsidP="00A51FEA">
      <w:pPr>
        <w:pStyle w:val="ad"/>
        <w:numPr>
          <w:ilvl w:val="0"/>
          <w:numId w:val="1"/>
        </w:numPr>
        <w:spacing w:line="360" w:lineRule="auto"/>
        <w:jc w:val="both"/>
        <w:rPr>
          <w:rFonts w:ascii="Arial" w:hAnsi="Arial"/>
          <w:noProof w:val="0"/>
        </w:rPr>
      </w:pPr>
      <w:r>
        <w:rPr>
          <w:rFonts w:ascii="Arial" w:hAnsi="Arial" w:hint="cs"/>
          <w:noProof w:val="0"/>
          <w:rtl/>
        </w:rPr>
        <w:t>עמדת רשם העמותות בדיון ה</w:t>
      </w:r>
      <w:r w:rsidR="00BA3F98">
        <w:rPr>
          <w:rFonts w:ascii="Arial" w:hAnsi="Arial" w:hint="cs"/>
          <w:noProof w:val="0"/>
          <w:rtl/>
        </w:rPr>
        <w:t>י</w:t>
      </w:r>
      <w:r>
        <w:rPr>
          <w:rFonts w:ascii="Arial" w:hAnsi="Arial" w:hint="cs"/>
          <w:noProof w:val="0"/>
          <w:rtl/>
        </w:rPr>
        <w:t>יתה כי על מנת להחיל את הוראת סעיף 350 לחוק החברות על עמותה, נדרש צו מאת שר המשפטים</w:t>
      </w:r>
      <w:r w:rsidR="00A734D8">
        <w:rPr>
          <w:rFonts w:ascii="Arial" w:hAnsi="Arial" w:hint="cs"/>
          <w:noProof w:val="0"/>
          <w:rtl/>
        </w:rPr>
        <w:t xml:space="preserve"> בהתאם לסעיף 354 לחוק חדלות פירעון</w:t>
      </w:r>
      <w:r>
        <w:rPr>
          <w:rFonts w:ascii="Arial" w:hAnsi="Arial" w:hint="cs"/>
          <w:noProof w:val="0"/>
          <w:rtl/>
        </w:rPr>
        <w:t xml:space="preserve">. באת כוח הרשם פירטה בדיון את טענות הרשם, המצדיקות מתן צו פירוק והמליצה על מינוי בעל התפקיד שמונה בעניינה של עמותה קשורה </w:t>
      </w:r>
      <w:r>
        <w:rPr>
          <w:rFonts w:ascii="Arial" w:hAnsi="Arial"/>
          <w:noProof w:val="0"/>
          <w:rtl/>
        </w:rPr>
        <w:t>–</w:t>
      </w:r>
      <w:r>
        <w:rPr>
          <w:rFonts w:ascii="Arial" w:hAnsi="Arial" w:hint="cs"/>
          <w:noProof w:val="0"/>
          <w:rtl/>
        </w:rPr>
        <w:t xml:space="preserve"> עמותת משיבים לחינוך ולרווחה </w:t>
      </w:r>
      <w:r>
        <w:rPr>
          <w:rFonts w:ascii="Arial" w:hAnsi="Arial"/>
          <w:noProof w:val="0"/>
          <w:rtl/>
        </w:rPr>
        <w:t>–</w:t>
      </w:r>
      <w:r>
        <w:rPr>
          <w:rFonts w:ascii="Arial" w:hAnsi="Arial" w:hint="cs"/>
          <w:noProof w:val="0"/>
          <w:rtl/>
        </w:rPr>
        <w:t xml:space="preserve"> על ידי בית המשפט המחוזי בתל-אביב (בתיק פר"ק 51287-03-21) ביום 31.5.2021. </w:t>
      </w:r>
    </w:p>
    <w:p w:rsidR="00A51FEA" w:rsidRDefault="00A51FEA" w:rsidP="00A51FEA">
      <w:pPr>
        <w:spacing w:line="360" w:lineRule="auto"/>
        <w:jc w:val="both"/>
        <w:rPr>
          <w:rFonts w:ascii="Arial" w:hAnsi="Arial"/>
          <w:noProof w:val="0"/>
          <w:rtl/>
        </w:rPr>
      </w:pPr>
    </w:p>
    <w:p w:rsidR="00011332" w:rsidRDefault="00A51FEA" w:rsidP="00A734D8">
      <w:pPr>
        <w:pStyle w:val="ad"/>
        <w:numPr>
          <w:ilvl w:val="0"/>
          <w:numId w:val="1"/>
        </w:numPr>
        <w:spacing w:line="360" w:lineRule="auto"/>
        <w:jc w:val="both"/>
        <w:rPr>
          <w:rFonts w:ascii="Arial" w:hAnsi="Arial"/>
          <w:noProof w:val="0"/>
        </w:rPr>
      </w:pPr>
      <w:r>
        <w:rPr>
          <w:rFonts w:ascii="Arial" w:hAnsi="Arial" w:hint="cs"/>
          <w:noProof w:val="0"/>
          <w:rtl/>
        </w:rPr>
        <w:t>בא כוח הכנ"ר טען בדיון, כי בית המשפט העליון טרם הכריע בסוגית תחולת סעיף 350 לחוק החברות על עמותות ולכן יש קושי בהחלת הוראה זו, שהייתה בתוקף ערב חקיקת חוק חדלות פירעון. נטען, כי ניתן להח</w:t>
      </w:r>
      <w:r w:rsidR="00011332">
        <w:rPr>
          <w:rFonts w:ascii="Arial" w:hAnsi="Arial" w:hint="cs"/>
          <w:noProof w:val="0"/>
          <w:rtl/>
        </w:rPr>
        <w:t>יל על העמותה את הוראת סעיף 233 לפקודת החברות</w:t>
      </w:r>
      <w:r w:rsidR="00A734D8">
        <w:rPr>
          <w:rFonts w:ascii="Arial" w:hAnsi="Arial" w:hint="cs"/>
          <w:noProof w:val="0"/>
          <w:rtl/>
        </w:rPr>
        <w:t xml:space="preserve"> [נוסח חדש]</w:t>
      </w:r>
      <w:r w:rsidR="00011332">
        <w:rPr>
          <w:rFonts w:ascii="Arial" w:hAnsi="Arial" w:hint="cs"/>
          <w:noProof w:val="0"/>
          <w:rtl/>
        </w:rPr>
        <w:t xml:space="preserve">, </w:t>
      </w:r>
      <w:r w:rsidR="00A734D8">
        <w:rPr>
          <w:rFonts w:ascii="Arial" w:hAnsi="Arial" w:hint="cs"/>
          <w:noProof w:val="0"/>
          <w:rtl/>
        </w:rPr>
        <w:lastRenderedPageBreak/>
        <w:t>התשמ"ג-1983 (להלן: "</w:t>
      </w:r>
      <w:r w:rsidR="00A734D8" w:rsidRPr="00A734D8">
        <w:rPr>
          <w:rFonts w:ascii="Arial" w:hAnsi="Arial" w:hint="cs"/>
          <w:b/>
          <w:bCs/>
          <w:noProof w:val="0"/>
          <w:rtl/>
        </w:rPr>
        <w:t>פקודת החברות</w:t>
      </w:r>
      <w:r w:rsidR="00A734D8">
        <w:rPr>
          <w:rFonts w:ascii="Arial" w:hAnsi="Arial" w:hint="cs"/>
          <w:noProof w:val="0"/>
          <w:rtl/>
        </w:rPr>
        <w:t xml:space="preserve">"), </w:t>
      </w:r>
      <w:r w:rsidR="00011332">
        <w:rPr>
          <w:rFonts w:ascii="Arial" w:hAnsi="Arial" w:hint="cs"/>
          <w:noProof w:val="0"/>
          <w:rtl/>
        </w:rPr>
        <w:t xml:space="preserve">המתייחסת לאפשרות של חברה להציע פשרה או הסדר ולסמכות בית המשפט שהוגשה לו בקשה לפשרה או הסדר ליתן צו הקפאת הליכים לתקופה שלא תעלה על תשעה חודשים, אם שוכנע כי יהיה בכך כדי לסייע לגיבושה או אישורה של תכנית שמטרתה להבריא את החברה. לטענת בא כוח הכנ"ר, קיימת אפשרות להחיל את הוראת סעיף 233 לפקודה על עמותות, אף שהוראה זו אינה נזכרת בסעיף 54 לחוק העמותות, המחיל הוראות אחרות מפקודת החברות על </w:t>
      </w:r>
      <w:r w:rsidR="00A734D8">
        <w:rPr>
          <w:rFonts w:ascii="Arial" w:hAnsi="Arial" w:hint="cs"/>
          <w:noProof w:val="0"/>
          <w:rtl/>
        </w:rPr>
        <w:t>עמותות</w:t>
      </w:r>
      <w:r w:rsidR="00011332">
        <w:rPr>
          <w:rFonts w:ascii="Arial" w:hAnsi="Arial" w:hint="cs"/>
          <w:noProof w:val="0"/>
          <w:rtl/>
        </w:rPr>
        <w:t xml:space="preserve">. נטען בהקשר זה, כי הוראות סעיף 307 לפקודת החברות הוחלו על עמותות בסעיף 54 לחוק העמותות ועל פי הוראות אלה מוסמך מפרק, באישור בית המשפט, לבוא לידי פשרה או הסדר עם נושים והדרך לבצע את הסמכות על פי סעיף 307 לפקודה, היא באמצעות סעיף 233 לפקודה. </w:t>
      </w:r>
    </w:p>
    <w:p w:rsidR="00011332" w:rsidRPr="00011332" w:rsidRDefault="00011332" w:rsidP="00011332">
      <w:pPr>
        <w:pStyle w:val="ad"/>
        <w:rPr>
          <w:rFonts w:ascii="Arial" w:hAnsi="Arial"/>
          <w:noProof w:val="0"/>
          <w:rtl/>
        </w:rPr>
      </w:pPr>
    </w:p>
    <w:p w:rsidR="00BA7EB5" w:rsidRPr="00BA7EB5" w:rsidRDefault="00011332" w:rsidP="00A734D8">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בא כוח הכנ"ר סבר, כי נדרש מנגנון ביניים מעשי לצורך המשך פעילות העמותה והציע למנות מפרק זמני, אשר יקבל את הצעת העמותה להסדר נושים תוך 14 ימים, וגם יכין דו"ח בנוגע לתקינות התנהלות העמותה, במסגרתו ייבחנו על ידו טענות רשם העמותות. </w:t>
      </w:r>
    </w:p>
    <w:p w:rsidR="00BA7EB5" w:rsidRPr="00BA7EB5" w:rsidRDefault="00BA7EB5" w:rsidP="00BA7EB5">
      <w:pPr>
        <w:pStyle w:val="ad"/>
        <w:rPr>
          <w:rFonts w:ascii="Arial" w:hAnsi="Arial"/>
          <w:b/>
          <w:bCs/>
          <w:noProof w:val="0"/>
          <w:u w:val="single"/>
          <w:rtl/>
        </w:rPr>
      </w:pPr>
    </w:p>
    <w:p w:rsidR="00BA7EB5" w:rsidRPr="00BA7EB5" w:rsidRDefault="00BA7EB5" w:rsidP="00BA7EB5">
      <w:pPr>
        <w:spacing w:line="360" w:lineRule="auto"/>
        <w:jc w:val="both"/>
        <w:rPr>
          <w:rFonts w:ascii="Arial" w:hAnsi="Arial"/>
          <w:b/>
          <w:bCs/>
          <w:noProof w:val="0"/>
          <w:u w:val="single"/>
          <w:rtl/>
        </w:rPr>
      </w:pPr>
      <w:r w:rsidRPr="00BA7EB5">
        <w:rPr>
          <w:rFonts w:ascii="Arial" w:hAnsi="Arial" w:hint="cs"/>
          <w:b/>
          <w:bCs/>
          <w:noProof w:val="0"/>
          <w:u w:val="single"/>
          <w:rtl/>
        </w:rPr>
        <w:t>דיון והכרעה</w:t>
      </w:r>
    </w:p>
    <w:p w:rsidR="00BA7EB5" w:rsidRPr="00BA7EB5" w:rsidRDefault="00BA7EB5" w:rsidP="00A734D8">
      <w:pPr>
        <w:pStyle w:val="ad"/>
        <w:numPr>
          <w:ilvl w:val="0"/>
          <w:numId w:val="1"/>
        </w:numPr>
        <w:spacing w:line="360" w:lineRule="auto"/>
        <w:jc w:val="both"/>
        <w:rPr>
          <w:rFonts w:ascii="Arial" w:hAnsi="Arial"/>
          <w:noProof w:val="0"/>
        </w:rPr>
      </w:pPr>
      <w:r w:rsidRPr="00BA7EB5">
        <w:rPr>
          <w:rFonts w:ascii="Arial" w:hAnsi="Arial" w:hint="cs"/>
          <w:noProof w:val="0"/>
          <w:rtl/>
        </w:rPr>
        <w:t xml:space="preserve">בדיון מיום 18.4.2023 התברר, כי לא בוצע פרסום ברשומות </w:t>
      </w:r>
      <w:r w:rsidR="00A734D8">
        <w:rPr>
          <w:rFonts w:ascii="Arial" w:hAnsi="Arial" w:hint="cs"/>
          <w:noProof w:val="0"/>
          <w:rtl/>
        </w:rPr>
        <w:t>בדבר</w:t>
      </w:r>
      <w:r w:rsidRPr="00BA7EB5">
        <w:rPr>
          <w:rFonts w:ascii="Arial" w:hAnsi="Arial" w:hint="cs"/>
          <w:noProof w:val="0"/>
          <w:rtl/>
        </w:rPr>
        <w:t xml:space="preserve"> הדיון בבקשת הפירוק ולא קיימת תעודת השלמה. כמו כן, לא שולם פיקדון כנדרש. משום כך, יש צורך לקבוע מועד נוסף לדיון בבקשת הפירוק, אליו יוכלו להצטרף נושים נוספים, שלא ידעו על מועד הדיון בבית המשפט. כך, למשל, לא התייצב</w:t>
      </w:r>
      <w:r w:rsidR="00F21246">
        <w:rPr>
          <w:rFonts w:ascii="Arial" w:hAnsi="Arial" w:hint="cs"/>
          <w:noProof w:val="0"/>
          <w:rtl/>
        </w:rPr>
        <w:t>ו</w:t>
      </w:r>
      <w:r w:rsidRPr="00BA7EB5">
        <w:rPr>
          <w:rFonts w:ascii="Arial" w:hAnsi="Arial" w:hint="cs"/>
          <w:noProof w:val="0"/>
          <w:rtl/>
        </w:rPr>
        <w:t xml:space="preserve"> לדיון נציגים מטעם בנק פאג"י, שעל פי התנגדות העמותה לבקשת הפירוק, הוא נושה משמעותי, בעל חוב של כ-2.8 מיליון ₪ ומטעם בנק מרכנתיל דיסקונט. </w:t>
      </w:r>
      <w:r w:rsidR="00F21246">
        <w:rPr>
          <w:rFonts w:ascii="Arial" w:hAnsi="Arial" w:hint="cs"/>
          <w:noProof w:val="0"/>
          <w:rtl/>
        </w:rPr>
        <w:t>יתכן כי סיבת אי ההתייצבות לדיון נעוצה בהיעדר פרסום על קיומו.</w:t>
      </w:r>
    </w:p>
    <w:p w:rsidR="00BA7EB5" w:rsidRPr="00BA7EB5" w:rsidRDefault="00BA7EB5" w:rsidP="00BA7EB5">
      <w:pPr>
        <w:pStyle w:val="ad"/>
        <w:rPr>
          <w:rFonts w:ascii="Arial" w:hAnsi="Arial"/>
          <w:noProof w:val="0"/>
          <w:rtl/>
        </w:rPr>
      </w:pPr>
    </w:p>
    <w:p w:rsidR="00BA7EB5" w:rsidRDefault="00BA7EB5" w:rsidP="00F21246">
      <w:pPr>
        <w:pStyle w:val="ad"/>
        <w:numPr>
          <w:ilvl w:val="0"/>
          <w:numId w:val="1"/>
        </w:numPr>
        <w:spacing w:line="360" w:lineRule="auto"/>
        <w:jc w:val="both"/>
        <w:rPr>
          <w:rFonts w:ascii="Arial" w:hAnsi="Arial"/>
          <w:noProof w:val="0"/>
        </w:rPr>
      </w:pPr>
      <w:r>
        <w:rPr>
          <w:rFonts w:ascii="Arial" w:hAnsi="Arial" w:hint="cs"/>
          <w:noProof w:val="0"/>
          <w:rtl/>
        </w:rPr>
        <w:t>באשר לבקשה למתן צו הקפאת הליכים מטעם העמותה, יש להידרש לטענות העמותה, לפיהן יש אפשרות להחיל את הוראות ס</w:t>
      </w:r>
      <w:r w:rsidR="00F21246">
        <w:rPr>
          <w:rFonts w:ascii="Arial" w:hAnsi="Arial" w:hint="cs"/>
          <w:noProof w:val="0"/>
          <w:rtl/>
        </w:rPr>
        <w:t>ע</w:t>
      </w:r>
      <w:r>
        <w:rPr>
          <w:rFonts w:ascii="Arial" w:hAnsi="Arial" w:hint="cs"/>
          <w:noProof w:val="0"/>
          <w:rtl/>
        </w:rPr>
        <w:t xml:space="preserve">יף 350 לחוק החברות, ולטענות בא כוח הכנ"ר, לפיהן יש אפשרות להחיל על העמותה את הוראות סעיף 233 לפקודת החברות. </w:t>
      </w:r>
    </w:p>
    <w:p w:rsidR="00BA7EB5" w:rsidRPr="00BA7EB5" w:rsidRDefault="00BA7EB5" w:rsidP="00BA7EB5">
      <w:pPr>
        <w:pStyle w:val="ad"/>
        <w:rPr>
          <w:rFonts w:ascii="Arial" w:hAnsi="Arial"/>
          <w:noProof w:val="0"/>
          <w:rtl/>
        </w:rPr>
      </w:pPr>
    </w:p>
    <w:p w:rsidR="00BA7EB5" w:rsidRDefault="00BA7EB5" w:rsidP="00BA7EB5">
      <w:pPr>
        <w:pStyle w:val="ad"/>
        <w:numPr>
          <w:ilvl w:val="0"/>
          <w:numId w:val="1"/>
        </w:numPr>
        <w:spacing w:line="360" w:lineRule="auto"/>
        <w:jc w:val="both"/>
        <w:rPr>
          <w:rFonts w:ascii="Arial" w:hAnsi="Arial"/>
          <w:noProof w:val="0"/>
        </w:rPr>
      </w:pPr>
      <w:r>
        <w:rPr>
          <w:rFonts w:ascii="Arial" w:hAnsi="Arial" w:hint="cs"/>
          <w:noProof w:val="0"/>
          <w:rtl/>
        </w:rPr>
        <w:t>לפני חקיקתו של חוק חדלות פירעון הוחלה הור</w:t>
      </w:r>
      <w:r w:rsidR="00F21246">
        <w:rPr>
          <w:rFonts w:ascii="Arial" w:hAnsi="Arial" w:hint="cs"/>
          <w:noProof w:val="0"/>
          <w:rtl/>
        </w:rPr>
        <w:t>א</w:t>
      </w:r>
      <w:r>
        <w:rPr>
          <w:rFonts w:ascii="Arial" w:hAnsi="Arial" w:hint="cs"/>
          <w:noProof w:val="0"/>
          <w:rtl/>
        </w:rPr>
        <w:t xml:space="preserve">ת סעיף 350 לחוק החברות על עמותה ספציפית, רק אם חתם שר המשפטים על צו, בהתאם לסמכותו בסעיף 380(ב) לפקודת החברות. כאשר נחקק חוק חדלות פירעון, נכללה בו הוראת סעיף 354, המסמיכה את שר המשפטים להחיל על עמותה ספציפית את הוראות חוק חדלות פירעון, כולן או חלקן. בדברי ההסבר לסעיף 354 לחוק חדלות פירעון נקבע כך: </w:t>
      </w:r>
    </w:p>
    <w:p w:rsidR="00BA7EB5" w:rsidRPr="00BA7EB5" w:rsidRDefault="00BA7EB5" w:rsidP="00BA7EB5">
      <w:pPr>
        <w:pStyle w:val="ad"/>
        <w:rPr>
          <w:rFonts w:ascii="Arial" w:hAnsi="Arial"/>
          <w:noProof w:val="0"/>
          <w:rtl/>
        </w:rPr>
      </w:pPr>
    </w:p>
    <w:p w:rsidR="00BA7EB5" w:rsidRDefault="004D2863" w:rsidP="004D2863">
      <w:pPr>
        <w:spacing w:line="360" w:lineRule="auto"/>
        <w:ind w:left="1440"/>
        <w:jc w:val="both"/>
        <w:rPr>
          <w:rFonts w:ascii="Arial" w:hAnsi="Arial"/>
          <w:noProof w:val="0"/>
          <w:rtl/>
        </w:rPr>
      </w:pPr>
      <w:r>
        <w:rPr>
          <w:rFonts w:ascii="Arial" w:hAnsi="Arial" w:hint="cs"/>
          <w:b/>
          <w:bCs/>
          <w:noProof w:val="0"/>
          <w:rtl/>
        </w:rPr>
        <w:t>"</w:t>
      </w:r>
      <w:r w:rsidR="00BA7EB5">
        <w:rPr>
          <w:rFonts w:ascii="Arial" w:hAnsi="Arial" w:hint="cs"/>
          <w:b/>
          <w:bCs/>
          <w:noProof w:val="0"/>
          <w:rtl/>
        </w:rPr>
        <w:t xml:space="preserve">סעיף 354 </w:t>
      </w:r>
      <w:r>
        <w:rPr>
          <w:rFonts w:ascii="Arial" w:hAnsi="Arial" w:hint="cs"/>
          <w:b/>
          <w:bCs/>
          <w:noProof w:val="0"/>
          <w:rtl/>
        </w:rPr>
        <w:t xml:space="preserve"> </w:t>
      </w:r>
      <w:r w:rsidR="00BA7EB5">
        <w:rPr>
          <w:rFonts w:ascii="Arial" w:hAnsi="Arial" w:hint="cs"/>
          <w:b/>
          <w:bCs/>
          <w:noProof w:val="0"/>
          <w:rtl/>
        </w:rPr>
        <w:t xml:space="preserve">מוצע להסמיך את שר המשפטים להחיל </w:t>
      </w:r>
      <w:r w:rsidR="0055061F">
        <w:rPr>
          <w:rFonts w:ascii="Arial" w:hAnsi="Arial" w:hint="cs"/>
          <w:b/>
          <w:bCs/>
          <w:noProof w:val="0"/>
          <w:rtl/>
        </w:rPr>
        <w:t xml:space="preserve">את הוראות החוק המוצע, או חלק מהן, הצו, גם על חבר בני אדם מסוים שאינו תאגיד לפי חוק זה, ושלא קבוע לגביו בחיקוק הסדר אחר לאותו עניין. תכליתו של סעיף זה לאפשר שימוש </w:t>
      </w:r>
      <w:r w:rsidR="0055061F">
        <w:rPr>
          <w:rFonts w:ascii="Arial" w:hAnsi="Arial" w:hint="cs"/>
          <w:b/>
          <w:bCs/>
          <w:noProof w:val="0"/>
          <w:rtl/>
        </w:rPr>
        <w:lastRenderedPageBreak/>
        <w:t>בכלים שבהצעת החוק לטיפול בחדלות פירעון גם לגבי תאגיד שהחוק המוצע אינו חל עליו מלכתחילה</w:t>
      </w:r>
      <w:r>
        <w:rPr>
          <w:rFonts w:ascii="Arial" w:hAnsi="Arial" w:hint="cs"/>
          <w:b/>
          <w:bCs/>
          <w:noProof w:val="0"/>
          <w:rtl/>
        </w:rPr>
        <w:t>.</w:t>
      </w:r>
      <w:r w:rsidR="0055061F">
        <w:rPr>
          <w:rFonts w:ascii="Arial" w:hAnsi="Arial" w:hint="cs"/>
          <w:b/>
          <w:bCs/>
          <w:noProof w:val="0"/>
          <w:rtl/>
        </w:rPr>
        <w:t xml:space="preserve"> החלת הוראות החוק המוצע על תאגיד אחר מוגבלת לתאגיד ספציפי</w:t>
      </w:r>
      <w:r>
        <w:rPr>
          <w:rFonts w:ascii="Arial" w:hAnsi="Arial" w:hint="cs"/>
          <w:b/>
          <w:bCs/>
          <w:noProof w:val="0"/>
          <w:rtl/>
        </w:rPr>
        <w:t>,</w:t>
      </w:r>
      <w:r w:rsidR="0055061F">
        <w:rPr>
          <w:rFonts w:ascii="Arial" w:hAnsi="Arial" w:hint="cs"/>
          <w:b/>
          <w:bCs/>
          <w:noProof w:val="0"/>
          <w:rtl/>
        </w:rPr>
        <w:t xml:space="preserve"> זאת מכיוון שהחלת הוראות החוק על סוג של תאגידים מתאימה יותר לחקיקה ראשית. הוראה זו מקבילה להוראה הקיימת היום בסעיף 380(ב) לפקודת החברות". </w:t>
      </w:r>
    </w:p>
    <w:p w:rsidR="0055061F" w:rsidRDefault="0055061F" w:rsidP="0055061F">
      <w:pPr>
        <w:spacing w:line="360" w:lineRule="auto"/>
        <w:jc w:val="both"/>
        <w:rPr>
          <w:rFonts w:ascii="Arial" w:hAnsi="Arial"/>
          <w:noProof w:val="0"/>
          <w:rtl/>
        </w:rPr>
      </w:pPr>
    </w:p>
    <w:p w:rsidR="0055061F" w:rsidRDefault="0055061F" w:rsidP="00AD35D0">
      <w:pPr>
        <w:spacing w:line="360" w:lineRule="auto"/>
        <w:jc w:val="both"/>
        <w:rPr>
          <w:rFonts w:ascii="Arial" w:hAnsi="Arial"/>
          <w:noProof w:val="0"/>
          <w:rtl/>
        </w:rPr>
      </w:pPr>
      <w:r>
        <w:rPr>
          <w:rFonts w:ascii="Arial" w:hAnsi="Arial" w:hint="cs"/>
          <w:noProof w:val="0"/>
          <w:rtl/>
        </w:rPr>
        <w:t xml:space="preserve">מדברי ההסבר עולה בבירור כי הוראת סעיף 354 לחוק חדלות פירעון היא ההוראה המקבילה בחוק החדש להוראת סעיף 380(ב) לפקודת החברות, אשר הסמיכה את השר להחיל על עמותה ספציפית את הוראת סעיף 350 לחוק החברות. </w:t>
      </w:r>
      <w:r w:rsidR="00457843">
        <w:rPr>
          <w:rFonts w:ascii="Arial" w:hAnsi="Arial" w:hint="cs"/>
          <w:noProof w:val="0"/>
          <w:rtl/>
        </w:rPr>
        <w:t xml:space="preserve">במאמר מוסגר אציין כי על פי הצעת הסדר הנושים שפורטה בהתנגדות העמותה, שהיא הצעה גולמית בלבד בשלב זה, החסרה כעת פרטים רבים, קיים ספק </w:t>
      </w:r>
      <w:r w:rsidR="00AD35D0">
        <w:rPr>
          <w:rFonts w:ascii="Arial" w:hAnsi="Arial" w:hint="cs"/>
          <w:noProof w:val="0"/>
          <w:rtl/>
        </w:rPr>
        <w:t xml:space="preserve">לכאורי </w:t>
      </w:r>
      <w:r w:rsidR="00457843">
        <w:rPr>
          <w:rFonts w:ascii="Arial" w:hAnsi="Arial" w:hint="cs"/>
          <w:noProof w:val="0"/>
          <w:rtl/>
        </w:rPr>
        <w:t xml:space="preserve">אם מדובר בתכנית הבראה לעמותה, לאור הכוונה המוצהרת </w:t>
      </w:r>
      <w:r w:rsidR="00AD35D0">
        <w:rPr>
          <w:rFonts w:ascii="Arial" w:hAnsi="Arial" w:hint="cs"/>
          <w:noProof w:val="0"/>
          <w:rtl/>
        </w:rPr>
        <w:t>להמשך הפעילות החינוכית על ידי עמותת נהורא, אשר אמורה לקלוט את תלמידי הישיבה ולנהל את העניינים הכספיים של הפעילות.</w:t>
      </w:r>
    </w:p>
    <w:p w:rsidR="0055061F" w:rsidRDefault="0055061F" w:rsidP="0055061F">
      <w:pPr>
        <w:spacing w:line="360" w:lineRule="auto"/>
        <w:jc w:val="both"/>
        <w:rPr>
          <w:rFonts w:ascii="Arial" w:hAnsi="Arial"/>
          <w:noProof w:val="0"/>
          <w:rtl/>
        </w:rPr>
      </w:pPr>
    </w:p>
    <w:p w:rsidR="0055061F" w:rsidRDefault="0055061F" w:rsidP="004D2863">
      <w:pPr>
        <w:pStyle w:val="ad"/>
        <w:numPr>
          <w:ilvl w:val="0"/>
          <w:numId w:val="1"/>
        </w:numPr>
        <w:spacing w:line="360" w:lineRule="auto"/>
        <w:jc w:val="both"/>
        <w:rPr>
          <w:rFonts w:ascii="Arial" w:hAnsi="Arial"/>
          <w:noProof w:val="0"/>
        </w:rPr>
      </w:pPr>
      <w:r>
        <w:rPr>
          <w:rFonts w:ascii="Arial" w:hAnsi="Arial" w:hint="cs"/>
          <w:noProof w:val="0"/>
          <w:rtl/>
        </w:rPr>
        <w:t xml:space="preserve">אין כל סתירה בין הוראות סעיף 376 לחוק חדלות פירעון, </w:t>
      </w:r>
      <w:r w:rsidR="004D2863">
        <w:rPr>
          <w:rFonts w:ascii="Arial" w:hAnsi="Arial" w:hint="cs"/>
          <w:noProof w:val="0"/>
          <w:rtl/>
        </w:rPr>
        <w:t>ה</w:t>
      </w:r>
      <w:r>
        <w:rPr>
          <w:rFonts w:ascii="Arial" w:hAnsi="Arial" w:hint="cs"/>
          <w:noProof w:val="0"/>
          <w:rtl/>
        </w:rPr>
        <w:t>מחריג</w:t>
      </w:r>
      <w:r w:rsidR="004D2863">
        <w:rPr>
          <w:rFonts w:ascii="Arial" w:hAnsi="Arial" w:hint="cs"/>
          <w:noProof w:val="0"/>
          <w:rtl/>
        </w:rPr>
        <w:t>ות</w:t>
      </w:r>
      <w:r>
        <w:rPr>
          <w:rFonts w:ascii="Arial" w:hAnsi="Arial" w:hint="cs"/>
          <w:noProof w:val="0"/>
          <w:rtl/>
        </w:rPr>
        <w:t xml:space="preserve"> לתקופה של חמש שנים עמותות מתחילתו של החוק, לבין סמכותו של השר, במסגרת סעיף 354 לחוק, להחיל הוראות מחוק חדלות פירעון, על עמותה מסוימת. </w:t>
      </w:r>
    </w:p>
    <w:p w:rsidR="0055061F" w:rsidRDefault="0055061F" w:rsidP="0055061F">
      <w:pPr>
        <w:spacing w:line="360" w:lineRule="auto"/>
        <w:jc w:val="both"/>
        <w:rPr>
          <w:rFonts w:ascii="Arial" w:hAnsi="Arial"/>
          <w:noProof w:val="0"/>
          <w:rtl/>
        </w:rPr>
      </w:pPr>
    </w:p>
    <w:p w:rsidR="0055061F" w:rsidRDefault="0055061F" w:rsidP="0055061F">
      <w:pPr>
        <w:pStyle w:val="ad"/>
        <w:numPr>
          <w:ilvl w:val="0"/>
          <w:numId w:val="1"/>
        </w:numPr>
        <w:spacing w:line="360" w:lineRule="auto"/>
        <w:jc w:val="both"/>
        <w:rPr>
          <w:rFonts w:ascii="Arial" w:hAnsi="Arial"/>
          <w:noProof w:val="0"/>
        </w:rPr>
      </w:pPr>
      <w:r>
        <w:rPr>
          <w:rFonts w:ascii="Arial" w:hAnsi="Arial" w:hint="cs"/>
          <w:noProof w:val="0"/>
          <w:rtl/>
        </w:rPr>
        <w:t>לדידי, אין עוד אפשרות כי השר יורה בצו על החלת סעיף 350 לחוק החברות</w:t>
      </w:r>
      <w:r w:rsidR="004D2863">
        <w:rPr>
          <w:rFonts w:ascii="Arial" w:hAnsi="Arial" w:hint="cs"/>
          <w:noProof w:val="0"/>
          <w:rtl/>
        </w:rPr>
        <w:t xml:space="preserve"> על עמותה מסוימת</w:t>
      </w:r>
      <w:r>
        <w:rPr>
          <w:rFonts w:ascii="Arial" w:hAnsi="Arial" w:hint="cs"/>
          <w:noProof w:val="0"/>
          <w:rtl/>
        </w:rPr>
        <w:t>, כפי שהיה מוסמך על פי הוראת סעיף 380 לפקודת החברו</w:t>
      </w:r>
      <w:r w:rsidR="00023084">
        <w:rPr>
          <w:rFonts w:ascii="Arial" w:hAnsi="Arial" w:hint="cs"/>
          <w:noProof w:val="0"/>
          <w:rtl/>
        </w:rPr>
        <w:t>ת. השר מוסמך להחיל בצו על עמותה ספציפית את הוראות חוק חדלות פירעון, כולן או חלקן.</w:t>
      </w:r>
    </w:p>
    <w:p w:rsidR="00023084" w:rsidRPr="00023084" w:rsidRDefault="00023084" w:rsidP="00023084">
      <w:pPr>
        <w:pStyle w:val="ad"/>
        <w:rPr>
          <w:rFonts w:ascii="Arial" w:hAnsi="Arial"/>
          <w:noProof w:val="0"/>
          <w:rtl/>
        </w:rPr>
      </w:pPr>
    </w:p>
    <w:p w:rsidR="00023084" w:rsidRDefault="00023084" w:rsidP="00023084">
      <w:pPr>
        <w:pStyle w:val="ad"/>
        <w:numPr>
          <w:ilvl w:val="0"/>
          <w:numId w:val="1"/>
        </w:numPr>
        <w:spacing w:line="360" w:lineRule="auto"/>
        <w:jc w:val="both"/>
        <w:rPr>
          <w:rFonts w:ascii="Arial" w:hAnsi="Arial"/>
          <w:noProof w:val="0"/>
        </w:rPr>
      </w:pPr>
      <w:r>
        <w:rPr>
          <w:rFonts w:ascii="Arial" w:hAnsi="Arial" w:hint="cs"/>
          <w:noProof w:val="0"/>
          <w:rtl/>
        </w:rPr>
        <w:t>אשר לפרשנות היצירתית שהציע ב"כ הכנ"ר בדיון, לפיה ניתן להחיל על עמותות את הוראת סעיף 233 לפקודת החברות, ללא צורך בפנייה לשר המשפטים, נראה לי כי קיימים קשיים ניכרים בקבלתה. בסעיף 54 לחוק עמותות נקבע כך:</w:t>
      </w:r>
    </w:p>
    <w:p w:rsidR="00023084" w:rsidRPr="00023084" w:rsidRDefault="00023084" w:rsidP="00023084">
      <w:pPr>
        <w:pStyle w:val="ad"/>
        <w:rPr>
          <w:rFonts w:ascii="Arial" w:hAnsi="Arial"/>
          <w:noProof w:val="0"/>
          <w:rtl/>
        </w:rPr>
      </w:pPr>
    </w:p>
    <w:p w:rsidR="00023084" w:rsidRDefault="00023084" w:rsidP="004D2863">
      <w:pPr>
        <w:spacing w:line="360" w:lineRule="auto"/>
        <w:ind w:left="720"/>
        <w:jc w:val="both"/>
        <w:rPr>
          <w:rFonts w:ascii="Arial" w:hAnsi="Arial"/>
          <w:b/>
          <w:bCs/>
          <w:noProof w:val="0"/>
          <w:rtl/>
        </w:rPr>
      </w:pPr>
      <w:r>
        <w:rPr>
          <w:rFonts w:ascii="Arial" w:hAnsi="Arial" w:hint="cs"/>
          <w:b/>
          <w:bCs/>
          <w:noProof w:val="0"/>
          <w:rtl/>
        </w:rPr>
        <w:t>" 54. על פירוק עמותה לפי צו בית המשפט יחולו, בשינויים המחויבים, ובשינויים הנובעים מאופי</w:t>
      </w:r>
      <w:r w:rsidR="00BA3F98">
        <w:rPr>
          <w:rFonts w:ascii="Arial" w:hAnsi="Arial" w:hint="cs"/>
          <w:b/>
          <w:bCs/>
          <w:noProof w:val="0"/>
          <w:rtl/>
        </w:rPr>
        <w:t>י</w:t>
      </w:r>
      <w:r>
        <w:rPr>
          <w:rFonts w:ascii="Arial" w:hAnsi="Arial" w:hint="cs"/>
          <w:b/>
          <w:bCs/>
          <w:noProof w:val="0"/>
          <w:rtl/>
        </w:rPr>
        <w:t xml:space="preserve">ה של העמותה </w:t>
      </w:r>
      <w:r w:rsidR="004D2863">
        <w:rPr>
          <w:rFonts w:ascii="Arial" w:hAnsi="Arial" w:hint="cs"/>
          <w:b/>
          <w:bCs/>
          <w:noProof w:val="0"/>
          <w:rtl/>
        </w:rPr>
        <w:t>כ</w:t>
      </w:r>
      <w:r>
        <w:rPr>
          <w:rFonts w:ascii="Arial" w:hAnsi="Arial" w:hint="cs"/>
          <w:b/>
          <w:bCs/>
          <w:noProof w:val="0"/>
          <w:rtl/>
        </w:rPr>
        <w:t>תאגיד שלא למטרות רווח ובכפוף להוראות חוק זה, הוראות סעיפים 258, 263, 26</w:t>
      </w:r>
      <w:r w:rsidR="004D2863">
        <w:rPr>
          <w:rFonts w:ascii="Arial" w:hAnsi="Arial" w:hint="cs"/>
          <w:b/>
          <w:bCs/>
          <w:noProof w:val="0"/>
          <w:rtl/>
        </w:rPr>
        <w:t>7</w:t>
      </w:r>
      <w:r>
        <w:rPr>
          <w:rFonts w:ascii="Arial" w:hAnsi="Arial" w:hint="cs"/>
          <w:b/>
          <w:bCs/>
          <w:noProof w:val="0"/>
          <w:rtl/>
        </w:rPr>
        <w:t>,26</w:t>
      </w:r>
      <w:r w:rsidR="004D2863">
        <w:rPr>
          <w:rFonts w:ascii="Arial" w:hAnsi="Arial" w:hint="cs"/>
          <w:b/>
          <w:bCs/>
          <w:noProof w:val="0"/>
          <w:rtl/>
        </w:rPr>
        <w:t>4</w:t>
      </w:r>
      <w:r>
        <w:rPr>
          <w:rFonts w:ascii="Arial" w:hAnsi="Arial" w:hint="cs"/>
          <w:b/>
          <w:bCs/>
          <w:noProof w:val="0"/>
          <w:rtl/>
        </w:rPr>
        <w:t>,</w:t>
      </w:r>
      <w:r w:rsidR="004D2863">
        <w:rPr>
          <w:rFonts w:ascii="Arial" w:hAnsi="Arial" w:hint="cs"/>
          <w:b/>
          <w:bCs/>
          <w:noProof w:val="0"/>
          <w:rtl/>
        </w:rPr>
        <w:t xml:space="preserve"> 270, </w:t>
      </w:r>
      <w:r>
        <w:rPr>
          <w:rFonts w:ascii="Arial" w:hAnsi="Arial" w:hint="cs"/>
          <w:b/>
          <w:bCs/>
          <w:noProof w:val="0"/>
          <w:rtl/>
        </w:rPr>
        <w:t>, 276, 281, 285, 300-305, 307, 312, 313, 315-317, 336 ו- 373-378 לפקודת החברות [נוסח חדש] השתמ"ג-1983, הממשיכות לחול לפי סעיף 376 (1) לחוק חדלות פירעון ושיקום כלכלי, התשע"ח -2018, וכן הוראות חלק ד' לח</w:t>
      </w:r>
      <w:r w:rsidR="004D2863">
        <w:rPr>
          <w:rFonts w:ascii="Arial" w:hAnsi="Arial" w:hint="cs"/>
          <w:b/>
          <w:bCs/>
          <w:noProof w:val="0"/>
          <w:rtl/>
        </w:rPr>
        <w:t>וק האמור, והתקנות שהותקנו על פי</w:t>
      </w:r>
      <w:r>
        <w:rPr>
          <w:rFonts w:ascii="Arial" w:hAnsi="Arial" w:hint="cs"/>
          <w:b/>
          <w:bCs/>
          <w:noProof w:val="0"/>
          <w:rtl/>
        </w:rPr>
        <w:t>הם."</w:t>
      </w:r>
    </w:p>
    <w:p w:rsidR="00023084" w:rsidRDefault="00023084" w:rsidP="00023084">
      <w:pPr>
        <w:spacing w:line="360" w:lineRule="auto"/>
        <w:jc w:val="both"/>
        <w:rPr>
          <w:rFonts w:ascii="Arial" w:hAnsi="Arial"/>
          <w:b/>
          <w:bCs/>
          <w:noProof w:val="0"/>
          <w:rtl/>
        </w:rPr>
      </w:pPr>
    </w:p>
    <w:p w:rsidR="00023084" w:rsidRDefault="00023084" w:rsidP="0096146A">
      <w:pPr>
        <w:spacing w:line="360" w:lineRule="auto"/>
        <w:ind w:left="360"/>
        <w:jc w:val="both"/>
        <w:rPr>
          <w:rFonts w:ascii="Arial" w:hAnsi="Arial"/>
          <w:noProof w:val="0"/>
          <w:rtl/>
        </w:rPr>
      </w:pPr>
      <w:r w:rsidRPr="00023084">
        <w:rPr>
          <w:rFonts w:ascii="Arial" w:hAnsi="Arial" w:hint="cs"/>
          <w:noProof w:val="0"/>
          <w:rtl/>
        </w:rPr>
        <w:lastRenderedPageBreak/>
        <w:t>לפי נוסח סעיף</w:t>
      </w:r>
      <w:r>
        <w:rPr>
          <w:rFonts w:ascii="Arial" w:hAnsi="Arial" w:hint="cs"/>
          <w:noProof w:val="0"/>
          <w:rtl/>
        </w:rPr>
        <w:t xml:space="preserve"> 54 לחוק העמותות, החיל המחוקק את סעיף 307</w:t>
      </w:r>
      <w:r w:rsidR="00F95DAF">
        <w:rPr>
          <w:rFonts w:ascii="Arial" w:hAnsi="Arial" w:hint="cs"/>
          <w:noProof w:val="0"/>
          <w:rtl/>
        </w:rPr>
        <w:t xml:space="preserve"> לפקודת החברות, שכותרתו </w:t>
      </w:r>
      <w:r w:rsidR="00F95DAF">
        <w:rPr>
          <w:rFonts w:ascii="Arial" w:hAnsi="Arial"/>
          <w:noProof w:val="0"/>
          <w:rtl/>
        </w:rPr>
        <w:t>–</w:t>
      </w:r>
      <w:r w:rsidR="00F95DAF">
        <w:rPr>
          <w:rFonts w:ascii="Arial" w:hAnsi="Arial" w:hint="cs"/>
          <w:noProof w:val="0"/>
          <w:rtl/>
        </w:rPr>
        <w:t xml:space="preserve"> "סמכויותיו של מפרק". הסעיף קובע כי המפרק מוסמך, באישור של בית המשפט או של וועדת הביקורת </w:t>
      </w:r>
      <w:r w:rsidR="00F95DAF">
        <w:rPr>
          <w:rFonts w:ascii="Arial" w:hAnsi="Arial"/>
          <w:noProof w:val="0"/>
          <w:rtl/>
        </w:rPr>
        <w:t>–</w:t>
      </w:r>
      <w:r w:rsidR="00F95DAF">
        <w:rPr>
          <w:rFonts w:ascii="Arial" w:hAnsi="Arial" w:hint="cs"/>
          <w:noProof w:val="0"/>
          <w:rtl/>
        </w:rPr>
        <w:t xml:space="preserve"> לנקוט בפעולות המפורטות בסעיפים קטנים (1) עד (6)  של סעיף 307(א) לפקודה.</w:t>
      </w:r>
      <w:r w:rsidR="008121F4">
        <w:rPr>
          <w:rFonts w:ascii="Arial" w:hAnsi="Arial" w:hint="cs"/>
          <w:noProof w:val="0"/>
          <w:rtl/>
        </w:rPr>
        <w:t xml:space="preserve"> ס"ק (5) </w:t>
      </w:r>
      <w:r w:rsidR="005F5D26">
        <w:rPr>
          <w:rFonts w:ascii="Arial" w:hAnsi="Arial" w:hint="cs"/>
          <w:noProof w:val="0"/>
          <w:rtl/>
        </w:rPr>
        <w:t>מסמיך</w:t>
      </w:r>
      <w:r w:rsidR="008121F4">
        <w:rPr>
          <w:rFonts w:ascii="Arial" w:hAnsi="Arial" w:hint="cs"/>
          <w:noProof w:val="0"/>
          <w:rtl/>
        </w:rPr>
        <w:t xml:space="preserve"> את המפרק "לבוא לידי פשרה או הסדר עם כל טוען שהוא נושה של החברה, או שיש לו תביעה כנגד החברה</w:t>
      </w:r>
      <w:r w:rsidR="00B069CF">
        <w:rPr>
          <w:rFonts w:ascii="Arial" w:hAnsi="Arial" w:hint="cs"/>
          <w:noProof w:val="0"/>
          <w:rtl/>
        </w:rPr>
        <w:t>".</w:t>
      </w:r>
      <w:r w:rsidR="008121F4">
        <w:rPr>
          <w:rFonts w:ascii="Arial" w:hAnsi="Arial" w:hint="cs"/>
          <w:noProof w:val="0"/>
          <w:rtl/>
        </w:rPr>
        <w:t xml:space="preserve"> לדידי, לא ניתן להחיל את סעיף 233 לפקודה על עמותה, לאור אי החלת הוראה זו על עמותות במסגרת סעיף 54 לחוק העמותות. </w:t>
      </w:r>
      <w:r w:rsidR="00B069CF">
        <w:rPr>
          <w:rFonts w:ascii="Arial" w:hAnsi="Arial" w:hint="cs"/>
          <w:noProof w:val="0"/>
          <w:rtl/>
        </w:rPr>
        <w:t xml:space="preserve">סעיף 233 לפקודה מעניק סמכות לבית המשפט ליתן צו הקפאת הליכים לתקופה שלא תעלה על 9 חודשים, אם שוכנע בית המשפט כי יהיה בכך כדי לסייע לגיבושה או לאישורה של תכנית שמטרתה להבריא את החברה. מדובר בסמכות רחבה ושונה מן הסמכות של בית המשפט על פי סעיף 307(א) לפקודת החברות, לאשר פשרה או הסדר בין המפרק לבין נושה. </w:t>
      </w:r>
      <w:r w:rsidR="005F5D26">
        <w:rPr>
          <w:rFonts w:ascii="Arial" w:hAnsi="Arial" w:hint="cs"/>
          <w:noProof w:val="0"/>
          <w:rtl/>
        </w:rPr>
        <w:t xml:space="preserve">מסקנת הדברים היא, כי אין אפשרות להחיל את סעיף  233 לפקודת החברות על עמותה והדרך היחידה המאפשרת מתן צו הקפאת הליכים לשם גיבוש או אישור תכנית הבראה של עמותה, היא באמצעות פנייה לשר המשפטים ומתן צו על ידו, המחיל על העמותה </w:t>
      </w:r>
      <w:r w:rsidR="0096146A">
        <w:rPr>
          <w:rFonts w:ascii="Arial" w:hAnsi="Arial" w:hint="cs"/>
          <w:noProof w:val="0"/>
          <w:rtl/>
        </w:rPr>
        <w:t xml:space="preserve">הספציפית </w:t>
      </w:r>
      <w:r w:rsidR="005F5D26">
        <w:rPr>
          <w:rFonts w:ascii="Arial" w:hAnsi="Arial" w:hint="cs"/>
          <w:noProof w:val="0"/>
          <w:rtl/>
        </w:rPr>
        <w:t>את הוראות ח</w:t>
      </w:r>
      <w:r w:rsidR="0096146A">
        <w:rPr>
          <w:rFonts w:ascii="Arial" w:hAnsi="Arial" w:hint="cs"/>
          <w:noProof w:val="0"/>
          <w:rtl/>
        </w:rPr>
        <w:t>ו</w:t>
      </w:r>
      <w:r w:rsidR="005F5D26">
        <w:rPr>
          <w:rFonts w:ascii="Arial" w:hAnsi="Arial" w:hint="cs"/>
          <w:noProof w:val="0"/>
          <w:rtl/>
        </w:rPr>
        <w:t>ק</w:t>
      </w:r>
      <w:r w:rsidR="0096146A">
        <w:rPr>
          <w:rFonts w:ascii="Arial" w:hAnsi="Arial" w:hint="cs"/>
          <w:noProof w:val="0"/>
          <w:rtl/>
        </w:rPr>
        <w:t xml:space="preserve"> חדלות פירעון, כולן או חלקן, לרבות ההוראות ביחס לצו הקפאת הליכים הדרוש להבטחת גיבוש הצעת הסדר.</w:t>
      </w:r>
    </w:p>
    <w:p w:rsidR="005F5D26" w:rsidRDefault="005F5D26" w:rsidP="00F95DAF">
      <w:pPr>
        <w:spacing w:line="360" w:lineRule="auto"/>
        <w:jc w:val="both"/>
        <w:rPr>
          <w:rFonts w:ascii="Arial" w:hAnsi="Arial"/>
          <w:noProof w:val="0"/>
          <w:rtl/>
        </w:rPr>
      </w:pPr>
    </w:p>
    <w:p w:rsidR="005F5D26" w:rsidRDefault="005F5D26" w:rsidP="0096146A">
      <w:pPr>
        <w:pStyle w:val="ad"/>
        <w:numPr>
          <w:ilvl w:val="0"/>
          <w:numId w:val="1"/>
        </w:numPr>
        <w:spacing w:line="360" w:lineRule="auto"/>
        <w:jc w:val="both"/>
        <w:rPr>
          <w:rFonts w:ascii="Arial" w:hAnsi="Arial"/>
          <w:noProof w:val="0"/>
        </w:rPr>
      </w:pPr>
      <w:r>
        <w:rPr>
          <w:rFonts w:ascii="Arial" w:hAnsi="Arial" w:hint="cs"/>
          <w:noProof w:val="0"/>
          <w:rtl/>
        </w:rPr>
        <w:t>ב"כ הכנ"ר הציע בדיון למנות מפרק זמני, אשר תפקידו יהיה לבחון א</w:t>
      </w:r>
      <w:r w:rsidR="0096146A">
        <w:rPr>
          <w:rFonts w:ascii="Arial" w:hAnsi="Arial" w:hint="cs"/>
          <w:noProof w:val="0"/>
          <w:rtl/>
        </w:rPr>
        <w:t>ת</w:t>
      </w:r>
      <w:r>
        <w:rPr>
          <w:rFonts w:ascii="Arial" w:hAnsi="Arial" w:hint="cs"/>
          <w:noProof w:val="0"/>
          <w:rtl/>
        </w:rPr>
        <w:t xml:space="preserve"> הצעת הסדר הנושים, ככול שתוגש מטעם העמותה וכן להידרש לטענות רשם העמותות בסוגיות אי החוקיות בפעולות העמותה, וזאת במקום לקיים דיון נוסף בבית המשפט, במהלכו ייחקרו בחקירות נגדיות המצהירה מטעם רשם העמותות ורואה החשבון מטעם העמותה. אינני סבור, כי ניתן וראוי לפעול במתווה המוצע. ראשית, אף אחד ממבקשי צו הפירוק, לא ביקש מינוי של מפרק זמני ולא הצביע על נחיצות מינוי כזה. שנית, יש לנקוט בזהירות במינוי מפרק זמני שמשמעו צו פירוק זמני של העמותה </w:t>
      </w:r>
      <w:r w:rsidR="0096146A">
        <w:rPr>
          <w:rFonts w:ascii="Arial" w:hAnsi="Arial" w:hint="cs"/>
          <w:noProof w:val="0"/>
          <w:rtl/>
        </w:rPr>
        <w:t xml:space="preserve">בטרם לובנה באופן מספק </w:t>
      </w:r>
      <w:r>
        <w:rPr>
          <w:rFonts w:ascii="Arial" w:hAnsi="Arial" w:hint="cs"/>
          <w:noProof w:val="0"/>
          <w:rtl/>
        </w:rPr>
        <w:t>המחלוקת בין רשם העמותות והעמותה</w:t>
      </w:r>
      <w:r w:rsidR="0096146A">
        <w:rPr>
          <w:rFonts w:ascii="Arial" w:hAnsi="Arial" w:hint="cs"/>
          <w:noProof w:val="0"/>
          <w:rtl/>
        </w:rPr>
        <w:t>.</w:t>
      </w:r>
      <w:r>
        <w:rPr>
          <w:rFonts w:ascii="Arial" w:hAnsi="Arial" w:hint="cs"/>
          <w:noProof w:val="0"/>
          <w:rtl/>
        </w:rPr>
        <w:t xml:space="preserve"> בא כוח הכנ"ר הפנה להחלטה ברע"א 787/23 </w:t>
      </w:r>
      <w:r>
        <w:rPr>
          <w:rFonts w:ascii="Arial" w:hAnsi="Arial" w:hint="cs"/>
          <w:b/>
          <w:bCs/>
          <w:noProof w:val="0"/>
          <w:rtl/>
        </w:rPr>
        <w:t>עמותת וורלד ווי</w:t>
      </w:r>
      <w:r w:rsidR="0096146A">
        <w:rPr>
          <w:rFonts w:ascii="Arial" w:hAnsi="Arial" w:hint="cs"/>
          <w:b/>
          <w:bCs/>
          <w:noProof w:val="0"/>
          <w:rtl/>
        </w:rPr>
        <w:t>ז</w:t>
      </w:r>
      <w:r>
        <w:rPr>
          <w:rFonts w:ascii="Arial" w:hAnsi="Arial" w:hint="cs"/>
          <w:b/>
          <w:bCs/>
          <w:noProof w:val="0"/>
          <w:rtl/>
        </w:rPr>
        <w:t>'ין נ' רשם העמותות</w:t>
      </w:r>
      <w:r>
        <w:rPr>
          <w:rFonts w:ascii="Arial" w:hAnsi="Arial" w:hint="cs"/>
          <w:noProof w:val="0"/>
          <w:rtl/>
        </w:rPr>
        <w:t xml:space="preserve"> (31.1.2023), בגדרה נדחתה בקשת רשות ערעור על החלטת בית משפט זה (כב' השופט א' רון) מיום 17.1.2023, למנות מפרק זמני לעמותה, תוך הימנעות ממתן צו </w:t>
      </w:r>
      <w:r w:rsidR="00F945CD">
        <w:rPr>
          <w:rFonts w:ascii="Arial" w:hAnsi="Arial" w:hint="cs"/>
          <w:noProof w:val="0"/>
          <w:rtl/>
        </w:rPr>
        <w:t>פירוק קבוע, מתוך זהירות. נקבע בהחלטת בית משפט זה כי ככול שיובהר על ידי המפרק הזמני כי העמותה מתנהלת כדין ושטענות בא כוחה נכונות, לא תהא מניעה "לשקול את השבתה לפעילות סדירה". אינני סבור, כי במקרה הנוכחי יש מקום לצו פירוק זמני של העמותה, בטרם לובנו חשדות הרשם ביחס להתנהלות שלא כדין מטעם העמותה, לנוכח טענות העמותה בהקשר זה</w:t>
      </w:r>
      <w:r w:rsidR="0096146A">
        <w:rPr>
          <w:rFonts w:ascii="Arial" w:hAnsi="Arial" w:hint="cs"/>
          <w:noProof w:val="0"/>
          <w:rtl/>
        </w:rPr>
        <w:t xml:space="preserve"> המבוססות לכאורה על חוות דעת של רואה חשבון מטעמה</w:t>
      </w:r>
      <w:r w:rsidR="00F945CD">
        <w:rPr>
          <w:rFonts w:ascii="Arial" w:hAnsi="Arial" w:hint="cs"/>
          <w:noProof w:val="0"/>
          <w:rtl/>
        </w:rPr>
        <w:t xml:space="preserve">. </w:t>
      </w:r>
    </w:p>
    <w:p w:rsidR="00F945CD" w:rsidRDefault="00F945CD" w:rsidP="00F945CD">
      <w:pPr>
        <w:spacing w:line="360" w:lineRule="auto"/>
        <w:jc w:val="both"/>
        <w:rPr>
          <w:rFonts w:ascii="Arial" w:hAnsi="Arial"/>
          <w:noProof w:val="0"/>
          <w:rtl/>
        </w:rPr>
      </w:pPr>
    </w:p>
    <w:p w:rsidR="00F945CD" w:rsidRDefault="00F945CD" w:rsidP="00F945CD">
      <w:pPr>
        <w:spacing w:line="360" w:lineRule="auto"/>
        <w:jc w:val="both"/>
        <w:rPr>
          <w:rFonts w:ascii="Arial" w:hAnsi="Arial"/>
          <w:noProof w:val="0"/>
          <w:rtl/>
        </w:rPr>
      </w:pPr>
      <w:r>
        <w:rPr>
          <w:rFonts w:ascii="Arial" w:hAnsi="Arial" w:hint="cs"/>
          <w:b/>
          <w:bCs/>
          <w:noProof w:val="0"/>
          <w:u w:val="single"/>
          <w:rtl/>
        </w:rPr>
        <w:t>סיכום</w:t>
      </w:r>
    </w:p>
    <w:p w:rsidR="00F945CD" w:rsidRDefault="00F945CD" w:rsidP="00F945CD">
      <w:pPr>
        <w:pStyle w:val="ad"/>
        <w:numPr>
          <w:ilvl w:val="0"/>
          <w:numId w:val="1"/>
        </w:numPr>
        <w:spacing w:line="360" w:lineRule="auto"/>
        <w:jc w:val="both"/>
        <w:rPr>
          <w:rFonts w:ascii="Arial" w:hAnsi="Arial"/>
          <w:noProof w:val="0"/>
        </w:rPr>
      </w:pPr>
      <w:r>
        <w:rPr>
          <w:rFonts w:ascii="Arial" w:hAnsi="Arial" w:hint="cs"/>
          <w:noProof w:val="0"/>
          <w:rtl/>
        </w:rPr>
        <w:t>לאור כל האמור לעיל, נקבע כדלקמן:</w:t>
      </w:r>
    </w:p>
    <w:p w:rsidR="00F945CD" w:rsidRDefault="00F945CD" w:rsidP="00F945CD">
      <w:pPr>
        <w:pStyle w:val="ad"/>
        <w:spacing w:line="360" w:lineRule="auto"/>
        <w:ind w:left="360"/>
        <w:jc w:val="both"/>
        <w:rPr>
          <w:rFonts w:ascii="Arial" w:hAnsi="Arial"/>
          <w:noProof w:val="0"/>
          <w:rtl/>
        </w:rPr>
      </w:pPr>
    </w:p>
    <w:p w:rsidR="00F945CD" w:rsidRDefault="00F945CD" w:rsidP="000F612E">
      <w:pPr>
        <w:pStyle w:val="ad"/>
        <w:numPr>
          <w:ilvl w:val="0"/>
          <w:numId w:val="3"/>
        </w:numPr>
        <w:spacing w:line="360" w:lineRule="auto"/>
        <w:jc w:val="both"/>
        <w:rPr>
          <w:rFonts w:ascii="Arial" w:hAnsi="Arial"/>
          <w:noProof w:val="0"/>
        </w:rPr>
      </w:pPr>
      <w:r>
        <w:rPr>
          <w:rFonts w:ascii="Arial" w:hAnsi="Arial" w:hint="cs"/>
          <w:noProof w:val="0"/>
          <w:rtl/>
        </w:rPr>
        <w:t xml:space="preserve">העמותה רשאית לפנות תוך 7 ימים מהיום לשר המשפטים בבקשה על פי סעיף 354 לחוק חדלות פירעון. מטעם העמותה תוגש עד ליום </w:t>
      </w:r>
      <w:r w:rsidR="000F612E">
        <w:rPr>
          <w:rFonts w:ascii="Arial" w:hAnsi="Arial" w:hint="cs"/>
          <w:noProof w:val="0"/>
          <w:rtl/>
        </w:rPr>
        <w:t>1.5.23</w:t>
      </w:r>
      <w:r>
        <w:rPr>
          <w:rFonts w:ascii="Arial" w:hAnsi="Arial" w:hint="cs"/>
          <w:noProof w:val="0"/>
          <w:rtl/>
        </w:rPr>
        <w:t xml:space="preserve"> הודעה מעדכנת, ובה יפורט מתי נעשתה הפנייה לשר </w:t>
      </w:r>
      <w:r w:rsidR="000F612E">
        <w:rPr>
          <w:rFonts w:ascii="Arial" w:hAnsi="Arial" w:hint="cs"/>
          <w:noProof w:val="0"/>
          <w:rtl/>
        </w:rPr>
        <w:t>(</w:t>
      </w:r>
      <w:r>
        <w:rPr>
          <w:rFonts w:ascii="Arial" w:hAnsi="Arial" w:hint="cs"/>
          <w:noProof w:val="0"/>
          <w:rtl/>
        </w:rPr>
        <w:t>או לחילופין, כי העמותה ויתרה על פניה לשר</w:t>
      </w:r>
      <w:r w:rsidR="000F612E">
        <w:rPr>
          <w:rFonts w:ascii="Arial" w:hAnsi="Arial" w:hint="cs"/>
          <w:noProof w:val="0"/>
          <w:rtl/>
        </w:rPr>
        <w:t>)</w:t>
      </w:r>
      <w:r>
        <w:rPr>
          <w:rFonts w:ascii="Arial" w:hAnsi="Arial" w:hint="cs"/>
          <w:noProof w:val="0"/>
          <w:rtl/>
        </w:rPr>
        <w:t xml:space="preserve">. </w:t>
      </w:r>
    </w:p>
    <w:p w:rsidR="00F945CD" w:rsidRDefault="00F945CD" w:rsidP="00F945CD">
      <w:pPr>
        <w:pStyle w:val="ad"/>
        <w:numPr>
          <w:ilvl w:val="0"/>
          <w:numId w:val="3"/>
        </w:numPr>
        <w:spacing w:line="360" w:lineRule="auto"/>
        <w:jc w:val="both"/>
        <w:rPr>
          <w:rFonts w:ascii="Arial" w:hAnsi="Arial"/>
          <w:noProof w:val="0"/>
        </w:rPr>
      </w:pPr>
      <w:r>
        <w:rPr>
          <w:rFonts w:ascii="Arial" w:hAnsi="Arial" w:hint="cs"/>
          <w:noProof w:val="0"/>
          <w:rtl/>
        </w:rPr>
        <w:t xml:space="preserve">ככול שיינתן צו של שר המשפטים, בעקבות פנית העמותה לשר, תוגש מטעם העמותה הצעת הסדר נושים, מלאה ומפורטת כמקובל, לשם כינוס אספות נושים לצורך בחינת ההצעה וקיום הצבעות הנושים לשם אישורה או דחייתה. </w:t>
      </w:r>
    </w:p>
    <w:p w:rsidR="00F945CD" w:rsidRDefault="00F945CD" w:rsidP="00183A60">
      <w:pPr>
        <w:pStyle w:val="ad"/>
        <w:numPr>
          <w:ilvl w:val="0"/>
          <w:numId w:val="3"/>
        </w:numPr>
        <w:spacing w:line="360" w:lineRule="auto"/>
        <w:jc w:val="both"/>
        <w:rPr>
          <w:rFonts w:ascii="Arial" w:hAnsi="Arial"/>
          <w:noProof w:val="0"/>
        </w:rPr>
      </w:pPr>
      <w:r>
        <w:rPr>
          <w:rFonts w:ascii="Arial" w:hAnsi="Arial" w:hint="cs"/>
          <w:noProof w:val="0"/>
          <w:rtl/>
        </w:rPr>
        <w:t xml:space="preserve">בא כוח </w:t>
      </w:r>
      <w:r w:rsidR="00183A60">
        <w:rPr>
          <w:rFonts w:ascii="Arial" w:hAnsi="Arial" w:hint="cs"/>
          <w:noProof w:val="0"/>
          <w:rtl/>
        </w:rPr>
        <w:t>מבקשת</w:t>
      </w:r>
      <w:r>
        <w:rPr>
          <w:rFonts w:ascii="Arial" w:hAnsi="Arial" w:hint="cs"/>
          <w:noProof w:val="0"/>
          <w:rtl/>
        </w:rPr>
        <w:t xml:space="preserve"> צו הפירוק</w:t>
      </w:r>
      <w:r w:rsidR="00183A60">
        <w:rPr>
          <w:rFonts w:ascii="Arial" w:hAnsi="Arial" w:hint="cs"/>
          <w:noProof w:val="0"/>
          <w:rtl/>
        </w:rPr>
        <w:t xml:space="preserve"> ידאג ללא דיחוי</w:t>
      </w:r>
      <w:r>
        <w:rPr>
          <w:rFonts w:ascii="Arial" w:hAnsi="Arial" w:hint="cs"/>
          <w:noProof w:val="0"/>
          <w:rtl/>
        </w:rPr>
        <w:t xml:space="preserve"> לב</w:t>
      </w:r>
      <w:r w:rsidR="00183A60">
        <w:rPr>
          <w:rFonts w:ascii="Arial" w:hAnsi="Arial" w:hint="cs"/>
          <w:noProof w:val="0"/>
          <w:rtl/>
        </w:rPr>
        <w:t>י</w:t>
      </w:r>
      <w:r>
        <w:rPr>
          <w:rFonts w:ascii="Arial" w:hAnsi="Arial" w:hint="cs"/>
          <w:noProof w:val="0"/>
          <w:rtl/>
        </w:rPr>
        <w:t>צ</w:t>
      </w:r>
      <w:r w:rsidR="00183A60">
        <w:rPr>
          <w:rFonts w:ascii="Arial" w:hAnsi="Arial" w:hint="cs"/>
          <w:noProof w:val="0"/>
          <w:rtl/>
        </w:rPr>
        <w:t>ו</w:t>
      </w:r>
      <w:r>
        <w:rPr>
          <w:rFonts w:ascii="Arial" w:hAnsi="Arial" w:hint="cs"/>
          <w:noProof w:val="0"/>
          <w:rtl/>
        </w:rPr>
        <w:t>ע פרסומים כנדרש בדין ול</w:t>
      </w:r>
      <w:r w:rsidR="00183A60">
        <w:rPr>
          <w:rFonts w:ascii="Arial" w:hAnsi="Arial" w:hint="cs"/>
          <w:noProof w:val="0"/>
          <w:rtl/>
        </w:rPr>
        <w:t>ת</w:t>
      </w:r>
      <w:r>
        <w:rPr>
          <w:rFonts w:ascii="Arial" w:hAnsi="Arial" w:hint="cs"/>
          <w:noProof w:val="0"/>
          <w:rtl/>
        </w:rPr>
        <w:t>של</w:t>
      </w:r>
      <w:r w:rsidR="00183A60">
        <w:rPr>
          <w:rFonts w:ascii="Arial" w:hAnsi="Arial" w:hint="cs"/>
          <w:noProof w:val="0"/>
          <w:rtl/>
        </w:rPr>
        <w:t>ו</w:t>
      </w:r>
      <w:r>
        <w:rPr>
          <w:rFonts w:ascii="Arial" w:hAnsi="Arial" w:hint="cs"/>
          <w:noProof w:val="0"/>
          <w:rtl/>
        </w:rPr>
        <w:t>ם האגרה כמתחייב. שבעה ימים לפני מועד הדיון הבא תוגש תעודת השלמה, באחריות מבקש</w:t>
      </w:r>
      <w:r w:rsidR="00183A60">
        <w:rPr>
          <w:rFonts w:ascii="Arial" w:hAnsi="Arial" w:hint="cs"/>
          <w:noProof w:val="0"/>
          <w:rtl/>
        </w:rPr>
        <w:t>ת</w:t>
      </w:r>
      <w:r>
        <w:rPr>
          <w:rFonts w:ascii="Arial" w:hAnsi="Arial" w:hint="cs"/>
          <w:noProof w:val="0"/>
          <w:rtl/>
        </w:rPr>
        <w:t xml:space="preserve"> הפירוק. </w:t>
      </w:r>
    </w:p>
    <w:p w:rsidR="00F945CD" w:rsidRDefault="00F945CD" w:rsidP="00CB2334">
      <w:pPr>
        <w:pStyle w:val="ad"/>
        <w:numPr>
          <w:ilvl w:val="0"/>
          <w:numId w:val="3"/>
        </w:numPr>
        <w:spacing w:line="360" w:lineRule="auto"/>
        <w:jc w:val="both"/>
        <w:rPr>
          <w:rFonts w:ascii="Arial" w:hAnsi="Arial"/>
          <w:noProof w:val="0"/>
        </w:rPr>
      </w:pPr>
      <w:r>
        <w:rPr>
          <w:rFonts w:ascii="Arial" w:hAnsi="Arial" w:hint="cs"/>
          <w:noProof w:val="0"/>
          <w:rtl/>
        </w:rPr>
        <w:t>נקבע דיון נוסף בבקשת הפירוק מטעם רשם העמותות. דיון זה נדרש הואיל ועילות הפירוק בבקשת הרשם אינן נוגעות לחדלות פירעון של העמותה ולחובותיה כלפי הנושים, אלא מתייחסות לאי סדרים חמורים בפעילות העמותה</w:t>
      </w:r>
      <w:r w:rsidR="00183A60">
        <w:rPr>
          <w:rFonts w:ascii="Arial" w:hAnsi="Arial" w:hint="cs"/>
          <w:noProof w:val="0"/>
          <w:rtl/>
        </w:rPr>
        <w:t>, המבססים לכאורה עילת פירוק שונה ונפרדת מעילת הפירוק שבבקשת העובדת לשעבר</w:t>
      </w:r>
      <w:r>
        <w:rPr>
          <w:rFonts w:ascii="Arial" w:hAnsi="Arial" w:hint="cs"/>
          <w:noProof w:val="0"/>
          <w:rtl/>
        </w:rPr>
        <w:t xml:space="preserve">. הדיון יתקיים ביום </w:t>
      </w:r>
      <w:r w:rsidR="00183A60">
        <w:rPr>
          <w:rFonts w:ascii="Arial" w:hAnsi="Arial" w:hint="cs"/>
          <w:noProof w:val="0"/>
          <w:rtl/>
        </w:rPr>
        <w:t>13.6.23</w:t>
      </w:r>
      <w:r>
        <w:rPr>
          <w:rFonts w:ascii="Arial" w:hAnsi="Arial" w:hint="cs"/>
          <w:noProof w:val="0"/>
          <w:rtl/>
        </w:rPr>
        <w:t xml:space="preserve"> בשעה </w:t>
      </w:r>
      <w:r w:rsidR="00CB2334">
        <w:rPr>
          <w:rFonts w:ascii="Arial" w:hAnsi="Arial" w:hint="cs"/>
          <w:noProof w:val="0"/>
          <w:rtl/>
        </w:rPr>
        <w:t>09:30</w:t>
      </w:r>
      <w:r>
        <w:rPr>
          <w:rFonts w:ascii="Arial" w:hAnsi="Arial" w:hint="cs"/>
          <w:noProof w:val="0"/>
          <w:rtl/>
        </w:rPr>
        <w:t xml:space="preserve"> ובו ייחקרו בחקירה נגדית המצהירה מטעם רשם העמותות ורו"ח ירוסלביץ' מטעם העמותה. </w:t>
      </w:r>
    </w:p>
    <w:p w:rsidR="00F945CD" w:rsidRDefault="00F945CD" w:rsidP="00F945CD">
      <w:pPr>
        <w:spacing w:line="360" w:lineRule="auto"/>
        <w:jc w:val="both"/>
        <w:rPr>
          <w:rFonts w:ascii="Arial" w:hAnsi="Arial"/>
          <w:noProof w:val="0"/>
          <w:rtl/>
        </w:rPr>
      </w:pPr>
    </w:p>
    <w:p w:rsidR="00F945CD" w:rsidRDefault="00C219D1" w:rsidP="00CB2334">
      <w:pPr>
        <w:pStyle w:val="ad"/>
        <w:numPr>
          <w:ilvl w:val="0"/>
          <w:numId w:val="1"/>
        </w:numPr>
        <w:spacing w:line="360" w:lineRule="auto"/>
        <w:jc w:val="both"/>
        <w:rPr>
          <w:rFonts w:ascii="Arial" w:hAnsi="Arial"/>
          <w:noProof w:val="0"/>
        </w:rPr>
      </w:pPr>
      <w:r>
        <w:rPr>
          <w:rFonts w:ascii="Arial" w:hAnsi="Arial" w:hint="cs"/>
          <w:noProof w:val="0"/>
          <w:rtl/>
        </w:rPr>
        <w:t xml:space="preserve">לפני סיום אציין כי טוב יעשו באי הכוח ונציגי העמותה אם ינצלו את הזמן עד לדיון הנוסף שנקבע כאמור, כדי ללבן </w:t>
      </w:r>
      <w:r w:rsidR="00CB2334">
        <w:rPr>
          <w:rFonts w:ascii="Arial" w:hAnsi="Arial" w:hint="cs"/>
          <w:noProof w:val="0"/>
          <w:rtl/>
        </w:rPr>
        <w:t xml:space="preserve">מול נציגי רשם העמותות </w:t>
      </w:r>
      <w:r>
        <w:rPr>
          <w:rFonts w:ascii="Arial" w:hAnsi="Arial" w:hint="cs"/>
          <w:noProof w:val="0"/>
          <w:rtl/>
        </w:rPr>
        <w:t>את חילוקי הדעות ביחס לטענות הרשם הנוגעות ל</w:t>
      </w:r>
      <w:r w:rsidR="00CB2334">
        <w:rPr>
          <w:rFonts w:ascii="Arial" w:hAnsi="Arial" w:hint="cs"/>
          <w:noProof w:val="0"/>
          <w:rtl/>
        </w:rPr>
        <w:t>התנהלות הכספית בין העמותה ל</w:t>
      </w:r>
      <w:r>
        <w:rPr>
          <w:rFonts w:ascii="Arial" w:hAnsi="Arial" w:hint="cs"/>
          <w:noProof w:val="0"/>
          <w:rtl/>
        </w:rPr>
        <w:t xml:space="preserve">רב שפריי </w:t>
      </w:r>
      <w:r w:rsidR="00CB2334">
        <w:rPr>
          <w:rFonts w:ascii="Arial" w:hAnsi="Arial" w:hint="cs"/>
          <w:noProof w:val="0"/>
          <w:rtl/>
        </w:rPr>
        <w:t>ול</w:t>
      </w:r>
      <w:r>
        <w:rPr>
          <w:rFonts w:ascii="Arial" w:hAnsi="Arial" w:hint="cs"/>
          <w:noProof w:val="0"/>
          <w:rtl/>
        </w:rPr>
        <w:t>מר שמחה רדין, כמו גם לטענות הנוספות</w:t>
      </w:r>
      <w:r w:rsidR="00CB2334">
        <w:rPr>
          <w:rFonts w:ascii="Arial" w:hAnsi="Arial" w:hint="cs"/>
          <w:noProof w:val="0"/>
          <w:rtl/>
        </w:rPr>
        <w:t xml:space="preserve"> מטעם הרשם</w:t>
      </w:r>
      <w:r>
        <w:rPr>
          <w:rFonts w:ascii="Arial" w:hAnsi="Arial" w:hint="cs"/>
          <w:noProof w:val="0"/>
          <w:rtl/>
        </w:rPr>
        <w:t>. מטבע הדברים</w:t>
      </w:r>
      <w:r w:rsidR="00CB2334">
        <w:rPr>
          <w:rFonts w:ascii="Arial" w:hAnsi="Arial" w:hint="cs"/>
          <w:noProof w:val="0"/>
          <w:rtl/>
        </w:rPr>
        <w:t>, ולאור החלטה זו,</w:t>
      </w:r>
      <w:r>
        <w:rPr>
          <w:rFonts w:ascii="Arial" w:hAnsi="Arial" w:hint="cs"/>
          <w:noProof w:val="0"/>
          <w:rtl/>
        </w:rPr>
        <w:t xml:space="preserve"> לא נדרשתי בהחלטה זו לזהות בעל התפקיד שימונה, מאחר וטרם הוחלט אם יש מקום למנות בעל תפקיד ומהן סמכויותיו. כל טענות הצדדים ביחס למינוי וביחס ליתר הסוגיות, שלא הוכרעו בהחלטה זו, שמורות להם. </w:t>
      </w:r>
    </w:p>
    <w:p w:rsidR="00C219D1" w:rsidRDefault="00C219D1" w:rsidP="00C219D1">
      <w:pPr>
        <w:spacing w:line="360" w:lineRule="auto"/>
        <w:jc w:val="both"/>
        <w:rPr>
          <w:rFonts w:ascii="Arial" w:hAnsi="Arial"/>
          <w:noProof w:val="0"/>
          <w:rtl/>
        </w:rPr>
      </w:pPr>
    </w:p>
    <w:p w:rsidR="00C219D1" w:rsidRPr="00C219D1" w:rsidRDefault="00C219D1" w:rsidP="00C219D1">
      <w:pPr>
        <w:spacing w:line="360" w:lineRule="auto"/>
        <w:ind w:left="360"/>
        <w:jc w:val="both"/>
        <w:rPr>
          <w:rFonts w:ascii="Arial" w:hAnsi="Arial"/>
          <w:b/>
          <w:bCs/>
          <w:noProof w:val="0"/>
          <w:rtl/>
        </w:rPr>
      </w:pPr>
      <w:r>
        <w:rPr>
          <w:rFonts w:ascii="Arial" w:hAnsi="Arial" w:hint="cs"/>
          <w:b/>
          <w:bCs/>
          <w:noProof w:val="0"/>
          <w:rtl/>
        </w:rPr>
        <w:t xml:space="preserve">המזכירות תמציא את ההחלטה לבאי כוח הצדדים. </w:t>
      </w:r>
    </w:p>
    <w:p w:rsidR="00694556" w:rsidRDefault="006F59F3" w:rsidP="006F59F3">
      <w:pPr>
        <w:spacing w:line="360" w:lineRule="auto"/>
        <w:jc w:val="both"/>
        <w:rPr>
          <w:rFonts w:ascii="Arial" w:hAnsi="Arial"/>
          <w:noProof w:val="0"/>
          <w:rtl/>
        </w:rPr>
      </w:pPr>
      <w:r>
        <w:rPr>
          <w:rFonts w:ascii="Arial" w:hAnsi="Arial" w:hint="cs"/>
          <w:noProof w:val="0"/>
          <w:rtl/>
        </w:rPr>
        <w:t xml:space="preserve">       </w:t>
      </w:r>
      <w:r w:rsidR="0043502B">
        <w:rPr>
          <w:rFonts w:ascii="Arial" w:hAnsi="Arial"/>
          <w:noProof w:val="0"/>
          <w:rtl/>
        </w:rPr>
        <w:t>נית</w:t>
      </w:r>
      <w:r w:rsidR="0043502B">
        <w:rPr>
          <w:rFonts w:ascii="Arial" w:hAnsi="Arial" w:hint="cs"/>
          <w:noProof w:val="0"/>
          <w:rtl/>
        </w:rPr>
        <w:t>נה</w:t>
      </w:r>
      <w:r w:rsidR="00005C8B">
        <w:rPr>
          <w:rFonts w:ascii="Arial" w:hAnsi="Arial"/>
          <w:noProof w:val="0"/>
          <w:rtl/>
        </w:rPr>
        <w:t xml:space="preserve"> היום, </w:t>
      </w:r>
      <w:r w:rsidR="0043502B">
        <w:rPr>
          <w:rFonts w:ascii="Arial" w:hAnsi="Arial"/>
          <w:noProof w:val="0"/>
          <w:rtl/>
        </w:rPr>
        <w:t>כ"ט ניסן תשפ"ג</w:t>
      </w:r>
      <w:r w:rsidR="00005C8B">
        <w:rPr>
          <w:rFonts w:ascii="Arial" w:hAnsi="Arial"/>
          <w:noProof w:val="0"/>
          <w:rtl/>
        </w:rPr>
        <w:t xml:space="preserve">, </w:t>
      </w:r>
      <w:r w:rsidR="0043502B">
        <w:rPr>
          <w:rFonts w:ascii="Arial" w:hAnsi="Arial"/>
          <w:noProof w:val="0"/>
          <w:rtl/>
        </w:rPr>
        <w:t>20 אפריל 2023</w:t>
      </w:r>
      <w:r w:rsidR="00005C8B">
        <w:rPr>
          <w:rFonts w:ascii="Arial" w:hAnsi="Arial"/>
          <w:noProof w:val="0"/>
          <w:rtl/>
        </w:rPr>
        <w:t>, בהעדר הצדדים.</w:t>
      </w:r>
    </w:p>
    <w:p w:rsidR="00C43648" w:rsidRDefault="00C43648" w:rsidP="00BD6531">
      <w:pPr>
        <w:tabs>
          <w:tab w:val="left" w:pos="2553"/>
        </w:tabs>
        <w:ind w:left="5040"/>
        <w:rPr>
          <w:rtl/>
        </w:rPr>
      </w:pPr>
    </w:p>
    <w:p w:rsidR="00425EDD" w:rsidRDefault="00BD6531" w:rsidP="00BA3F98">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tbl>
      <w:tblPr>
        <w:tblStyle w:val="a9"/>
        <w:bidiVisual/>
        <w:tblW w:w="3708" w:type="dxa"/>
        <w:tblInd w:w="493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425EDD" w:rsidTr="00425EDD">
        <w:trPr>
          <w:trHeight w:val="364"/>
        </w:trPr>
        <w:tc>
          <w:tcPr>
            <w:tcW w:w="3708" w:type="dxa"/>
            <w:tcBorders>
              <w:top w:val="nil"/>
              <w:left w:val="nil"/>
              <w:bottom w:val="single" w:sz="4" w:space="0" w:color="auto"/>
              <w:right w:val="nil"/>
            </w:tcBorders>
          </w:tcPr>
          <w:p w:rsidR="00425EDD" w:rsidRDefault="00425EDD">
            <w:pPr>
              <w:jc w:val="center"/>
              <w:rPr>
                <w:rFonts w:cs="Times New Roman"/>
                <w:noProof w:val="0"/>
              </w:rPr>
            </w:pPr>
            <w:r>
              <w:drawing>
                <wp:inline distT="0" distB="0" distL="0" distR="0">
                  <wp:extent cx="1514475" cy="570865"/>
                  <wp:effectExtent l="0" t="0" r="9525"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p>
          <w:p w:rsidR="00425EDD" w:rsidRDefault="00425EDD">
            <w:pPr>
              <w:jc w:val="center"/>
              <w:rPr>
                <w:sz w:val="26"/>
                <w:szCs w:val="26"/>
              </w:rPr>
            </w:pPr>
          </w:p>
        </w:tc>
      </w:tr>
      <w:tr w:rsidR="00425EDD" w:rsidTr="00425EDD">
        <w:trPr>
          <w:trHeight w:val="415"/>
        </w:trPr>
        <w:tc>
          <w:tcPr>
            <w:tcW w:w="3708" w:type="dxa"/>
            <w:tcBorders>
              <w:top w:val="single" w:sz="4" w:space="0" w:color="auto"/>
              <w:left w:val="nil"/>
              <w:bottom w:val="nil"/>
              <w:right w:val="nil"/>
            </w:tcBorders>
            <w:hideMark/>
          </w:tcPr>
          <w:p w:rsidR="00425EDD" w:rsidRDefault="00425EDD">
            <w:pPr>
              <w:jc w:val="center"/>
              <w:rPr>
                <w:b/>
                <w:bCs/>
                <w:sz w:val="26"/>
                <w:szCs w:val="26"/>
                <w:rtl/>
              </w:rPr>
            </w:pPr>
            <w:r>
              <w:rPr>
                <w:b/>
                <w:bCs/>
                <w:sz w:val="26"/>
                <w:szCs w:val="26"/>
                <w:rtl/>
              </w:rPr>
              <w:t>אביגדור</w:t>
            </w:r>
            <w:r>
              <w:rPr>
                <w:rFonts w:hint="cs"/>
                <w:b/>
                <w:bCs/>
                <w:sz w:val="26"/>
                <w:szCs w:val="26"/>
                <w:rtl/>
              </w:rPr>
              <w:t xml:space="preserve"> </w:t>
            </w:r>
            <w:r>
              <w:rPr>
                <w:b/>
                <w:bCs/>
                <w:sz w:val="26"/>
                <w:szCs w:val="26"/>
                <w:rtl/>
              </w:rPr>
              <w:t>דורות</w:t>
            </w:r>
            <w:r>
              <w:rPr>
                <w:rFonts w:hint="cs"/>
                <w:b/>
                <w:bCs/>
                <w:sz w:val="26"/>
                <w:szCs w:val="26"/>
                <w:rtl/>
              </w:rPr>
              <w:t xml:space="preserve">, </w:t>
            </w:r>
            <w:r>
              <w:rPr>
                <w:b/>
                <w:bCs/>
                <w:sz w:val="26"/>
                <w:szCs w:val="26"/>
                <w:rtl/>
              </w:rPr>
              <w:t>שופט</w:t>
            </w:r>
          </w:p>
        </w:tc>
      </w:tr>
    </w:tbl>
    <w:p w:rsidR="00694556" w:rsidRDefault="00694556" w:rsidP="00425EDD">
      <w:pPr>
        <w:tabs>
          <w:tab w:val="left" w:pos="2553"/>
        </w:tabs>
        <w:ind w:left="2160"/>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C6F" w:rsidRDefault="00686C6F">
      <w:r>
        <w:separator/>
      </w:r>
    </w:p>
  </w:endnote>
  <w:endnote w:type="continuationSeparator" w:id="0">
    <w:p w:rsidR="00686C6F" w:rsidRDefault="0068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4D0" w:rsidRDefault="00F154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154D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154D0">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4D0" w:rsidRDefault="00F154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C6F" w:rsidRDefault="00686C6F">
      <w:r>
        <w:separator/>
      </w:r>
    </w:p>
  </w:footnote>
  <w:footnote w:type="continuationSeparator" w:id="0">
    <w:p w:rsidR="00686C6F" w:rsidRDefault="0068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4D0" w:rsidRDefault="00F154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86C6F"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פר"ק</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FE09EC">
                <w:rPr>
                  <w:b/>
                  <w:bCs/>
                  <w:noProof w:val="0"/>
                  <w:sz w:val="26"/>
                  <w:szCs w:val="26"/>
                  <w:rtl/>
                </w:rPr>
                <w:t>49185-09-22</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BEREHTI נ' ממונה על חדלות פירעון – מחוז ירושלים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4D0" w:rsidRDefault="00F154D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551C"/>
    <w:multiLevelType w:val="hybridMultilevel"/>
    <w:tmpl w:val="CDB2CD18"/>
    <w:lvl w:ilvl="0" w:tplc="C770896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820D9A"/>
    <w:multiLevelType w:val="hybridMultilevel"/>
    <w:tmpl w:val="CDB2CD18"/>
    <w:lvl w:ilvl="0" w:tplc="C770896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14218"/>
    <w:multiLevelType w:val="hybridMultilevel"/>
    <w:tmpl w:val="A5CAA526"/>
    <w:lvl w:ilvl="0" w:tplc="BEFE99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1332"/>
    <w:rsid w:val="00023084"/>
    <w:rsid w:val="000346CC"/>
    <w:rsid w:val="000529D2"/>
    <w:rsid w:val="000564AB"/>
    <w:rsid w:val="00064FBD"/>
    <w:rsid w:val="00082AB2"/>
    <w:rsid w:val="000906FE"/>
    <w:rsid w:val="00096AF7"/>
    <w:rsid w:val="000B344B"/>
    <w:rsid w:val="000C3B0F"/>
    <w:rsid w:val="000C3B60"/>
    <w:rsid w:val="000C632A"/>
    <w:rsid w:val="000E0DD2"/>
    <w:rsid w:val="000E3AF1"/>
    <w:rsid w:val="000F0BC8"/>
    <w:rsid w:val="000F0DD6"/>
    <w:rsid w:val="000F612E"/>
    <w:rsid w:val="00107E6D"/>
    <w:rsid w:val="0011194C"/>
    <w:rsid w:val="0011424C"/>
    <w:rsid w:val="001173C6"/>
    <w:rsid w:val="001367BC"/>
    <w:rsid w:val="00144D2A"/>
    <w:rsid w:val="0014653E"/>
    <w:rsid w:val="00180519"/>
    <w:rsid w:val="00183A60"/>
    <w:rsid w:val="00191C82"/>
    <w:rsid w:val="001C4003"/>
    <w:rsid w:val="001D4DBF"/>
    <w:rsid w:val="001E75CA"/>
    <w:rsid w:val="00217AC7"/>
    <w:rsid w:val="002265FF"/>
    <w:rsid w:val="00235B97"/>
    <w:rsid w:val="00271B56"/>
    <w:rsid w:val="00271FA9"/>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25EDD"/>
    <w:rsid w:val="0043125D"/>
    <w:rsid w:val="0043502B"/>
    <w:rsid w:val="004443AC"/>
    <w:rsid w:val="00444B02"/>
    <w:rsid w:val="00451E28"/>
    <w:rsid w:val="00457843"/>
    <w:rsid w:val="00462C62"/>
    <w:rsid w:val="00465D36"/>
    <w:rsid w:val="004C17EE"/>
    <w:rsid w:val="004C4BDF"/>
    <w:rsid w:val="004D1187"/>
    <w:rsid w:val="004D2863"/>
    <w:rsid w:val="004D304C"/>
    <w:rsid w:val="004D3AA0"/>
    <w:rsid w:val="004E1987"/>
    <w:rsid w:val="004E2E15"/>
    <w:rsid w:val="004E6E3C"/>
    <w:rsid w:val="005076B9"/>
    <w:rsid w:val="00511B90"/>
    <w:rsid w:val="00520898"/>
    <w:rsid w:val="00523621"/>
    <w:rsid w:val="00524986"/>
    <w:rsid w:val="005268F6"/>
    <w:rsid w:val="00534284"/>
    <w:rsid w:val="00547DB7"/>
    <w:rsid w:val="0055061F"/>
    <w:rsid w:val="005C0627"/>
    <w:rsid w:val="005F4F09"/>
    <w:rsid w:val="005F5D26"/>
    <w:rsid w:val="0061431B"/>
    <w:rsid w:val="006158B1"/>
    <w:rsid w:val="00622BAA"/>
    <w:rsid w:val="006306CF"/>
    <w:rsid w:val="006318D8"/>
    <w:rsid w:val="00644E9A"/>
    <w:rsid w:val="00671BD5"/>
    <w:rsid w:val="006805C1"/>
    <w:rsid w:val="00686C21"/>
    <w:rsid w:val="00686C6F"/>
    <w:rsid w:val="006931C1"/>
    <w:rsid w:val="00694556"/>
    <w:rsid w:val="006B7258"/>
    <w:rsid w:val="006C30C5"/>
    <w:rsid w:val="006D3B31"/>
    <w:rsid w:val="006D51DC"/>
    <w:rsid w:val="006E0D96"/>
    <w:rsid w:val="006E1A53"/>
    <w:rsid w:val="006F56E6"/>
    <w:rsid w:val="006F59F3"/>
    <w:rsid w:val="00704EDA"/>
    <w:rsid w:val="00717630"/>
    <w:rsid w:val="00721122"/>
    <w:rsid w:val="007328A5"/>
    <w:rsid w:val="00734689"/>
    <w:rsid w:val="00753019"/>
    <w:rsid w:val="00754801"/>
    <w:rsid w:val="00761441"/>
    <w:rsid w:val="00795365"/>
    <w:rsid w:val="007A351D"/>
    <w:rsid w:val="007B7765"/>
    <w:rsid w:val="007C5BDD"/>
    <w:rsid w:val="007D45E3"/>
    <w:rsid w:val="007E6115"/>
    <w:rsid w:val="007F4609"/>
    <w:rsid w:val="008121F4"/>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5C1F"/>
    <w:rsid w:val="0094424E"/>
    <w:rsid w:val="00955642"/>
    <w:rsid w:val="0096146A"/>
    <w:rsid w:val="009622DF"/>
    <w:rsid w:val="0096493F"/>
    <w:rsid w:val="00967DFF"/>
    <w:rsid w:val="00994341"/>
    <w:rsid w:val="009D1A48"/>
    <w:rsid w:val="009E1CE7"/>
    <w:rsid w:val="009E4EA5"/>
    <w:rsid w:val="009F164B"/>
    <w:rsid w:val="009F323C"/>
    <w:rsid w:val="00A3392B"/>
    <w:rsid w:val="00A51FEA"/>
    <w:rsid w:val="00A734D8"/>
    <w:rsid w:val="00A81988"/>
    <w:rsid w:val="00A85E34"/>
    <w:rsid w:val="00A87DF6"/>
    <w:rsid w:val="00A9144F"/>
    <w:rsid w:val="00A94B64"/>
    <w:rsid w:val="00AA3229"/>
    <w:rsid w:val="00AA7596"/>
    <w:rsid w:val="00AB5E52"/>
    <w:rsid w:val="00AC3B02"/>
    <w:rsid w:val="00AC3B7B"/>
    <w:rsid w:val="00AC5209"/>
    <w:rsid w:val="00AD35D0"/>
    <w:rsid w:val="00AE0E34"/>
    <w:rsid w:val="00AE729E"/>
    <w:rsid w:val="00AE7752"/>
    <w:rsid w:val="00AF7FDA"/>
    <w:rsid w:val="00B069CF"/>
    <w:rsid w:val="00B5356E"/>
    <w:rsid w:val="00B62AD7"/>
    <w:rsid w:val="00B66717"/>
    <w:rsid w:val="00B809AD"/>
    <w:rsid w:val="00B80CBD"/>
    <w:rsid w:val="00B86096"/>
    <w:rsid w:val="00B95D6E"/>
    <w:rsid w:val="00B964D9"/>
    <w:rsid w:val="00BA0A7C"/>
    <w:rsid w:val="00BA3F98"/>
    <w:rsid w:val="00BA517C"/>
    <w:rsid w:val="00BA7EB5"/>
    <w:rsid w:val="00BB3D05"/>
    <w:rsid w:val="00BB73BE"/>
    <w:rsid w:val="00BC2D89"/>
    <w:rsid w:val="00BD6531"/>
    <w:rsid w:val="00BE05B2"/>
    <w:rsid w:val="00BF1908"/>
    <w:rsid w:val="00C219D1"/>
    <w:rsid w:val="00C22D93"/>
    <w:rsid w:val="00C23458"/>
    <w:rsid w:val="00C31120"/>
    <w:rsid w:val="00C34482"/>
    <w:rsid w:val="00C43648"/>
    <w:rsid w:val="00C50A9F"/>
    <w:rsid w:val="00C642FA"/>
    <w:rsid w:val="00CB2334"/>
    <w:rsid w:val="00CC7622"/>
    <w:rsid w:val="00CD516B"/>
    <w:rsid w:val="00CD608F"/>
    <w:rsid w:val="00CE0084"/>
    <w:rsid w:val="00CF6BB7"/>
    <w:rsid w:val="00D04AA4"/>
    <w:rsid w:val="00D13B05"/>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34EE7"/>
    <w:rsid w:val="00E5426A"/>
    <w:rsid w:val="00E54642"/>
    <w:rsid w:val="00E80CBE"/>
    <w:rsid w:val="00E9269D"/>
    <w:rsid w:val="00E962E3"/>
    <w:rsid w:val="00EB6C79"/>
    <w:rsid w:val="00EC37E9"/>
    <w:rsid w:val="00F038D8"/>
    <w:rsid w:val="00F06995"/>
    <w:rsid w:val="00F12D66"/>
    <w:rsid w:val="00F13623"/>
    <w:rsid w:val="00F154D0"/>
    <w:rsid w:val="00F21246"/>
    <w:rsid w:val="00F44D1D"/>
    <w:rsid w:val="00F84B6D"/>
    <w:rsid w:val="00F945CD"/>
    <w:rsid w:val="00F957E8"/>
    <w:rsid w:val="00F95DAF"/>
    <w:rsid w:val="00F964A5"/>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176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264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43C1"/>
    <w:rsid w:val="00345C9D"/>
    <w:rsid w:val="003B1853"/>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12794"/>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B185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3B185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2619</Words>
  <Characters>13100</Characters>
  <Application>Microsoft Office Word</Application>
  <DocSecurity>0</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2023-04-24T08:49:00Z</dcterms:created>
  <dcterms:modified xsi:type="dcterms:W3CDTF">2023-04-24T08:49:00Z</dcterms:modified>
</cp:coreProperties>
</file>